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OSAFIS Versioning and Identifiers</w:t>
      </w:r>
    </w:p>
    <w:p>
      <w:pPr/>
      <w:r>
        <w:t>OSAFIS citations must identify both the framework version and the referenced element. This document defines the proposed release scheme for 2.0.0-draft.1, the canonical identifiers and the migration from the supplied documents labelled 1.0. That source label records the baseline under revision; it is not evidence of a previous public release. All documents in this corpus share the same framework version.</w:t>
      </w:r>
    </w:p>
    <w:p>
      <w:pPr>
        <w:pStyle w:val="Heading1"/>
      </w:pPr>
      <w:r>
        <w:t>Version semantics</w:t>
      </w:r>
    </w:p>
    <w:p>
      <w:pPr/>
      <w:r>
        <w:t>The proposed format is MAJOR.MINOR.PATCH with an optional prerelease suffix. A MAJOR revision changes the interpretation or classification obligations of existing cases. Examples include changing a domain boundary, removing a property, or changing the meaning of a mechanism. A MINOR revision adds compatible concepts or explanatory material without changing existing meanings. A PATCH revision corrects spelling, formatting or an error that does not alter those meanings. If an apparent clarification changes which cases qualify, it requires a major change or an explicitly segregated experimental extension.</w:t>
      </w:r>
    </w:p>
    <w:p>
      <w:pPr/>
      <w:r>
        <w:t>The source used MAJOR.MINOR. A citation to 1.0 continues to mean the original snapshot and must not be silently rewritten to 1.0.0. The new three-part scheme begins with this proposed revision. The suffix draft.1 indicates a proposal awaiting review. A later draft increments its prerelease number and preserves the earlier snapshot. Removing the draft suffix is a release decision requiring documented review; creating files alone does not authorise that decision.</w:t>
      </w:r>
    </w:p>
    <w:p>
      <w:pPr/>
      <w:r>
        <w:t>The release manifest records the version, date, files and cryptographic hashes of the published artifacts, the canonical definitions, source editions for external mappings, known limitations, and migration instructions. Hashes establish that the bytes match a snapshot, not that its scientific claims are correct. The editable sources and human-readable outputs should be generated together to reduce vocabulary drift.</w:t>
      </w:r>
    </w:p>
    <w:p>
      <w:pPr>
        <w:pStyle w:val="Heading1"/>
      </w:pPr>
      <w:r>
        <w:t>Canonical layer identifiers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880"/>
        <w:gridCol w:w="7200"/>
      </w:tblGrid>
      <w:tr>
        <w:trPr>
          <w:cantSplit/>
          <w:tblHeader/>
        </w:trPr>
        <w:tc>
          <w:tcPr>
            <w:tcW w:type="dxa" w:w="2880"/>
            <w:vAlign w:val="center"/>
            <w:shd w:fill="E2EBF1"/>
            <w:tcMar>
              <w:top w:w="95" w:type="dxa"/>
              <w:left w:w="95" w:type="dxa"/>
              <w:bottom w:w="95" w:type="dxa"/>
              <w:right w:w="95" w:type="dxa"/>
            </w:tcMar>
          </w:tcPr>
          <w:p>
            <w:pPr>
              <w:spacing w:after="40" w:before="40" w:line="252" w:lineRule="auto"/>
              <w:jc w:val="center"/>
            </w:pPr>
            <w:r>
              <w:rPr>
                <w:b/>
                <w:sz w:val="20"/>
              </w:rPr>
              <w:t>ID</w:t>
            </w:r>
          </w:p>
        </w:tc>
        <w:tc>
          <w:tcPr>
            <w:tcW w:type="dxa" w:w="7200"/>
            <w:vAlign w:val="center"/>
            <w:shd w:fill="E2EBF1"/>
            <w:tcMar>
              <w:top w:w="95" w:type="dxa"/>
              <w:left w:w="95" w:type="dxa"/>
              <w:bottom w:w="95" w:type="dxa"/>
              <w:right w:w="95" w:type="dxa"/>
            </w:tcMar>
          </w:tcPr>
          <w:p>
            <w:pPr>
              <w:spacing w:after="40" w:before="40" w:line="252" w:lineRule="auto"/>
            </w:pPr>
            <w:r>
              <w:rPr>
                <w:b/>
                <w:sz w:val="20"/>
              </w:rPr>
              <w:t>Display name in 2.0.0-draft.1</w:t>
            </w:r>
          </w:p>
        </w:tc>
      </w:tr>
      <w:tr>
        <w:trPr>
          <w:cantSplit/>
        </w:trPr>
        <w:tc>
          <w:tcPr>
            <w:tcW w:type="dxa" w:w="2880"/>
            <w:vAlign w:val="center"/>
            <w:shd w:fill="FFFFFF"/>
            <w:tcMar>
              <w:top w:w="95" w:type="dxa"/>
              <w:left w:w="95" w:type="dxa"/>
              <w:bottom w:w="95" w:type="dxa"/>
              <w:right w:w="95" w:type="dxa"/>
            </w:tcMar>
          </w:tcPr>
          <w:p>
            <w:pPr>
              <w:spacing w:after="40" w:before="40" w:line="252" w:lineRule="auto"/>
              <w:jc w:val="center"/>
            </w:pPr>
            <w:r>
              <w:rPr>
                <w:sz w:val="20"/>
              </w:rPr>
              <w:t>L1</w:t>
            </w:r>
          </w:p>
        </w:tc>
        <w:tc>
          <w:tcPr>
            <w:tcW w:type="dxa" w:w="7200"/>
            <w:vAlign w:val="center"/>
            <w:shd w:fill="FFFFFF"/>
            <w:tcMar>
              <w:top w:w="95" w:type="dxa"/>
              <w:left w:w="95" w:type="dxa"/>
              <w:bottom w:w="95" w:type="dxa"/>
              <w:right w:w="95" w:type="dxa"/>
            </w:tcMar>
          </w:tcPr>
          <w:p>
            <w:pPr>
              <w:spacing w:after="40" w:before="40" w:line="252" w:lineRule="auto"/>
            </w:pPr>
            <w:r>
              <w:rPr>
                <w:sz w:val="20"/>
              </w:rPr>
              <w:t>Models &amp; Computation</w:t>
            </w:r>
          </w:p>
        </w:tc>
      </w:tr>
      <w:tr>
        <w:trPr>
          <w:cantSplit/>
        </w:trPr>
        <w:tc>
          <w:tcPr>
            <w:tcW w:type="dxa" w:w="2880"/>
            <w:vAlign w:val="center"/>
            <w:shd w:fill="FFFFFF"/>
            <w:tcMar>
              <w:top w:w="95" w:type="dxa"/>
              <w:left w:w="95" w:type="dxa"/>
              <w:bottom w:w="95" w:type="dxa"/>
              <w:right w:w="95" w:type="dxa"/>
            </w:tcMar>
          </w:tcPr>
          <w:p>
            <w:pPr>
              <w:spacing w:after="40" w:before="40" w:line="252" w:lineRule="auto"/>
              <w:jc w:val="center"/>
            </w:pPr>
            <w:r>
              <w:rPr>
                <w:sz w:val="20"/>
              </w:rPr>
              <w:t>L2</w:t>
            </w:r>
          </w:p>
        </w:tc>
        <w:tc>
          <w:tcPr>
            <w:tcW w:type="dxa" w:w="7200"/>
            <w:vAlign w:val="center"/>
            <w:shd w:fill="FFFFFF"/>
            <w:tcMar>
              <w:top w:w="95" w:type="dxa"/>
              <w:left w:w="95" w:type="dxa"/>
              <w:bottom w:w="95" w:type="dxa"/>
              <w:right w:w="95" w:type="dxa"/>
            </w:tcMar>
          </w:tcPr>
          <w:p>
            <w:pPr>
              <w:spacing w:after="40" w:before="40" w:line="252" w:lineRule="auto"/>
            </w:pPr>
            <w:r>
              <w:rPr>
                <w:sz w:val="20"/>
              </w:rPr>
              <w:t>Software &amp; Infrastructure</w:t>
            </w:r>
          </w:p>
        </w:tc>
      </w:tr>
      <w:tr>
        <w:trPr>
          <w:cantSplit/>
        </w:trPr>
        <w:tc>
          <w:tcPr>
            <w:tcW w:type="dxa" w:w="2880"/>
            <w:vAlign w:val="center"/>
            <w:shd w:fill="FFFFFF"/>
            <w:tcMar>
              <w:top w:w="95" w:type="dxa"/>
              <w:left w:w="95" w:type="dxa"/>
              <w:bottom w:w="95" w:type="dxa"/>
              <w:right w:w="95" w:type="dxa"/>
            </w:tcMar>
          </w:tcPr>
          <w:p>
            <w:pPr>
              <w:spacing w:after="40" w:before="40" w:line="252" w:lineRule="auto"/>
              <w:jc w:val="center"/>
            </w:pPr>
            <w:r>
              <w:rPr>
                <w:sz w:val="20"/>
              </w:rPr>
              <w:t>L3</w:t>
            </w:r>
          </w:p>
        </w:tc>
        <w:tc>
          <w:tcPr>
            <w:tcW w:type="dxa" w:w="7200"/>
            <w:vAlign w:val="center"/>
            <w:shd w:fill="FFFFFF"/>
            <w:tcMar>
              <w:top w:w="95" w:type="dxa"/>
              <w:left w:w="95" w:type="dxa"/>
              <w:bottom w:w="95" w:type="dxa"/>
              <w:right w:w="95" w:type="dxa"/>
            </w:tcMar>
          </w:tcPr>
          <w:p>
            <w:pPr>
              <w:spacing w:after="40" w:before="40" w:line="252" w:lineRule="auto"/>
            </w:pPr>
            <w:r>
              <w:rPr>
                <w:sz w:val="20"/>
              </w:rPr>
              <w:t>Data &amp; Knowledge</w:t>
            </w:r>
          </w:p>
        </w:tc>
      </w:tr>
      <w:tr>
        <w:trPr>
          <w:cantSplit/>
        </w:trPr>
        <w:tc>
          <w:tcPr>
            <w:tcW w:type="dxa" w:w="2880"/>
            <w:vAlign w:val="center"/>
            <w:shd w:fill="FFFFFF"/>
            <w:tcMar>
              <w:top w:w="95" w:type="dxa"/>
              <w:left w:w="95" w:type="dxa"/>
              <w:bottom w:w="95" w:type="dxa"/>
              <w:right w:w="95" w:type="dxa"/>
            </w:tcMar>
          </w:tcPr>
          <w:p>
            <w:pPr>
              <w:spacing w:after="40" w:before="40" w:line="252" w:lineRule="auto"/>
              <w:jc w:val="center"/>
            </w:pPr>
            <w:r>
              <w:rPr>
                <w:sz w:val="20"/>
              </w:rPr>
              <w:t>L4</w:t>
            </w:r>
          </w:p>
        </w:tc>
        <w:tc>
          <w:tcPr>
            <w:tcW w:type="dxa" w:w="7200"/>
            <w:vAlign w:val="center"/>
            <w:shd w:fill="FFFFFF"/>
            <w:tcMar>
              <w:top w:w="95" w:type="dxa"/>
              <w:left w:w="95" w:type="dxa"/>
              <w:bottom w:w="95" w:type="dxa"/>
              <w:right w:w="95" w:type="dxa"/>
            </w:tcMar>
          </w:tcPr>
          <w:p>
            <w:pPr>
              <w:spacing w:after="40" w:before="40" w:line="252" w:lineRule="auto"/>
            </w:pPr>
            <w:r>
              <w:rPr>
                <w:sz w:val="20"/>
              </w:rPr>
              <w:t>Perception &amp; World Representation</w:t>
            </w:r>
          </w:p>
        </w:tc>
      </w:tr>
      <w:tr>
        <w:trPr>
          <w:cantSplit/>
        </w:trPr>
        <w:tc>
          <w:tcPr>
            <w:tcW w:type="dxa" w:w="2880"/>
            <w:vAlign w:val="center"/>
            <w:shd w:fill="FFFFFF"/>
            <w:tcMar>
              <w:top w:w="95" w:type="dxa"/>
              <w:left w:w="95" w:type="dxa"/>
              <w:bottom w:w="95" w:type="dxa"/>
              <w:right w:w="95" w:type="dxa"/>
            </w:tcMar>
          </w:tcPr>
          <w:p>
            <w:pPr>
              <w:spacing w:after="40" w:before="40" w:line="252" w:lineRule="auto"/>
              <w:jc w:val="center"/>
            </w:pPr>
            <w:r>
              <w:rPr>
                <w:sz w:val="20"/>
              </w:rPr>
              <w:t>L5</w:t>
            </w:r>
          </w:p>
        </w:tc>
        <w:tc>
          <w:tcPr>
            <w:tcW w:type="dxa" w:w="7200"/>
            <w:vAlign w:val="center"/>
            <w:shd w:fill="FFFFFF"/>
            <w:tcMar>
              <w:top w:w="95" w:type="dxa"/>
              <w:left w:w="95" w:type="dxa"/>
              <w:bottom w:w="95" w:type="dxa"/>
              <w:right w:w="95" w:type="dxa"/>
            </w:tcMar>
          </w:tcPr>
          <w:p>
            <w:pPr>
              <w:spacing w:after="40" w:before="40" w:line="252" w:lineRule="auto"/>
            </w:pPr>
            <w:r>
              <w:rPr>
                <w:sz w:val="20"/>
              </w:rPr>
              <w:t>Interpretation &amp; Objectives</w:t>
            </w:r>
          </w:p>
        </w:tc>
      </w:tr>
      <w:tr>
        <w:trPr>
          <w:cantSplit/>
        </w:trPr>
        <w:tc>
          <w:tcPr>
            <w:tcW w:type="dxa" w:w="2880"/>
            <w:vAlign w:val="center"/>
            <w:shd w:fill="FFFFFF"/>
            <w:tcMar>
              <w:top w:w="95" w:type="dxa"/>
              <w:left w:w="95" w:type="dxa"/>
              <w:bottom w:w="95" w:type="dxa"/>
              <w:right w:w="95" w:type="dxa"/>
            </w:tcMar>
          </w:tcPr>
          <w:p>
            <w:pPr>
              <w:spacing w:after="40" w:before="40" w:line="252" w:lineRule="auto"/>
              <w:jc w:val="center"/>
            </w:pPr>
            <w:r>
              <w:rPr>
                <w:sz w:val="20"/>
              </w:rPr>
              <w:t>L6</w:t>
            </w:r>
          </w:p>
        </w:tc>
        <w:tc>
          <w:tcPr>
            <w:tcW w:type="dxa" w:w="7200"/>
            <w:vAlign w:val="center"/>
            <w:shd w:fill="FFFFFF"/>
            <w:tcMar>
              <w:top w:w="95" w:type="dxa"/>
              <w:left w:w="95" w:type="dxa"/>
              <w:bottom w:w="95" w:type="dxa"/>
              <w:right w:w="95" w:type="dxa"/>
            </w:tcMar>
          </w:tcPr>
          <w:p>
            <w:pPr>
              <w:spacing w:after="40" w:before="40" w:line="252" w:lineRule="auto"/>
            </w:pPr>
            <w:r>
              <w:rPr>
                <w:sz w:val="20"/>
              </w:rPr>
              <w:t>Memory &amp; State Continuity</w:t>
            </w:r>
          </w:p>
        </w:tc>
      </w:tr>
      <w:tr>
        <w:trPr>
          <w:cantSplit/>
        </w:trPr>
        <w:tc>
          <w:tcPr>
            <w:tcW w:type="dxa" w:w="2880"/>
            <w:vAlign w:val="center"/>
            <w:shd w:fill="FFFFFF"/>
            <w:tcMar>
              <w:top w:w="95" w:type="dxa"/>
              <w:left w:w="95" w:type="dxa"/>
              <w:bottom w:w="95" w:type="dxa"/>
              <w:right w:w="95" w:type="dxa"/>
            </w:tcMar>
          </w:tcPr>
          <w:p>
            <w:pPr>
              <w:spacing w:after="40" w:before="40" w:line="252" w:lineRule="auto"/>
              <w:jc w:val="center"/>
            </w:pPr>
            <w:r>
              <w:rPr>
                <w:sz w:val="20"/>
              </w:rPr>
              <w:t>L7</w:t>
            </w:r>
          </w:p>
        </w:tc>
        <w:tc>
          <w:tcPr>
            <w:tcW w:type="dxa" w:w="7200"/>
            <w:vAlign w:val="center"/>
            <w:shd w:fill="FFFFFF"/>
            <w:tcMar>
              <w:top w:w="95" w:type="dxa"/>
              <w:left w:w="95" w:type="dxa"/>
              <w:bottom w:w="95" w:type="dxa"/>
              <w:right w:w="95" w:type="dxa"/>
            </w:tcMar>
          </w:tcPr>
          <w:p>
            <w:pPr>
              <w:spacing w:after="40" w:before="40" w:line="252" w:lineRule="auto"/>
            </w:pPr>
            <w:r>
              <w:rPr>
                <w:sz w:val="20"/>
              </w:rPr>
              <w:t>Planning &amp; Action</w:t>
            </w:r>
          </w:p>
        </w:tc>
      </w:tr>
      <w:tr>
        <w:trPr>
          <w:cantSplit/>
        </w:trPr>
        <w:tc>
          <w:tcPr>
            <w:tcW w:type="dxa" w:w="2880"/>
            <w:vAlign w:val="center"/>
            <w:shd w:fill="FFFFFF"/>
            <w:tcMar>
              <w:top w:w="95" w:type="dxa"/>
              <w:left w:w="95" w:type="dxa"/>
              <w:bottom w:w="95" w:type="dxa"/>
              <w:right w:w="95" w:type="dxa"/>
            </w:tcMar>
          </w:tcPr>
          <w:p>
            <w:pPr>
              <w:spacing w:after="40" w:before="40" w:line="252" w:lineRule="auto"/>
              <w:jc w:val="center"/>
            </w:pPr>
            <w:r>
              <w:rPr>
                <w:sz w:val="20"/>
              </w:rPr>
              <w:t>L8</w:t>
            </w:r>
          </w:p>
        </w:tc>
        <w:tc>
          <w:tcPr>
            <w:tcW w:type="dxa" w:w="7200"/>
            <w:vAlign w:val="center"/>
            <w:shd w:fill="FFFFFF"/>
            <w:tcMar>
              <w:top w:w="95" w:type="dxa"/>
              <w:left w:w="95" w:type="dxa"/>
              <w:bottom w:w="95" w:type="dxa"/>
              <w:right w:w="95" w:type="dxa"/>
            </w:tcMar>
          </w:tcPr>
          <w:p>
            <w:pPr>
              <w:spacing w:after="40" w:before="40" w:line="252" w:lineRule="auto"/>
            </w:pPr>
            <w:r>
              <w:rPr>
                <w:sz w:val="20"/>
              </w:rPr>
              <w:t>Human–System Interaction</w:t>
            </w:r>
          </w:p>
        </w:tc>
      </w:tr>
      <w:tr>
        <w:trPr>
          <w:cantSplit/>
        </w:trPr>
        <w:tc>
          <w:tcPr>
            <w:tcW w:type="dxa" w:w="2880"/>
            <w:vAlign w:val="center"/>
            <w:shd w:fill="FFFFFF"/>
            <w:tcMar>
              <w:top w:w="95" w:type="dxa"/>
              <w:left w:w="95" w:type="dxa"/>
              <w:bottom w:w="95" w:type="dxa"/>
              <w:right w:w="95" w:type="dxa"/>
            </w:tcMar>
          </w:tcPr>
          <w:p>
            <w:pPr>
              <w:spacing w:after="40" w:before="40" w:line="252" w:lineRule="auto"/>
              <w:jc w:val="center"/>
            </w:pPr>
            <w:r>
              <w:rPr>
                <w:sz w:val="20"/>
              </w:rPr>
              <w:t>L9</w:t>
            </w:r>
          </w:p>
        </w:tc>
        <w:tc>
          <w:tcPr>
            <w:tcW w:type="dxa" w:w="7200"/>
            <w:vAlign w:val="center"/>
            <w:shd w:fill="FFFFFF"/>
            <w:tcMar>
              <w:top w:w="95" w:type="dxa"/>
              <w:left w:w="95" w:type="dxa"/>
              <w:bottom w:w="95" w:type="dxa"/>
              <w:right w:w="95" w:type="dxa"/>
            </w:tcMar>
          </w:tcPr>
          <w:p>
            <w:pPr>
              <w:spacing w:after="40" w:before="40" w:line="252" w:lineRule="auto"/>
            </w:pPr>
            <w:r>
              <w:rPr>
                <w:sz w:val="20"/>
              </w:rPr>
              <w:t>Collective &amp; Systemic Interaction</w:t>
            </w:r>
          </w:p>
        </w:tc>
      </w:tr>
    </w:tbl>
    <w:p>
      <w:pPr>
        <w:spacing w:after="20"/>
      </w:pPr>
    </w:p>
    <w:p>
      <w:pPr/>
      <w:r>
        <w:t>L means analytical security domain. Numbering is neither a dependency order nor an impact scale. Existing identifiers preserve the lineage of the same domain, but a version-qualified definition is mandatory because this revision changes several boundaries. If later work replaces a domain with a fundamentally different concept, retire its identifier and allocate a new one rather than reusing the old citation.</w:t>
      </w:r>
    </w:p>
    <w:p>
      <w:pPr>
        <w:pStyle w:val="Heading1"/>
      </w:pPr>
      <w:r>
        <w:t>Canonical property identifiers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792"/>
        <w:gridCol w:w="4248"/>
        <w:gridCol w:w="792"/>
        <w:gridCol w:w="4248"/>
      </w:tblGrid>
      <w:tr>
        <w:trPr>
          <w:cantSplit/>
          <w:tblHeader/>
        </w:trPr>
        <w:tc>
          <w:tcPr>
            <w:tcW w:type="dxa" w:w="792"/>
            <w:vAlign w:val="center"/>
            <w:shd w:fill="E2EBF1"/>
            <w:tcMar>
              <w:top w:w="95" w:type="dxa"/>
              <w:left w:w="95" w:type="dxa"/>
              <w:bottom w:w="95" w:type="dxa"/>
              <w:right w:w="95" w:type="dxa"/>
            </w:tcMar>
          </w:tcPr>
          <w:p>
            <w:pPr>
              <w:spacing w:after="40" w:before="40" w:line="252" w:lineRule="auto"/>
              <w:jc w:val="center"/>
            </w:pPr>
            <w:r>
              <w:rPr>
                <w:b/>
                <w:sz w:val="20"/>
              </w:rPr>
              <w:t>ID</w:t>
            </w:r>
          </w:p>
        </w:tc>
        <w:tc>
          <w:tcPr>
            <w:tcW w:type="dxa" w:w="4248"/>
            <w:vAlign w:val="center"/>
            <w:shd w:fill="E2EBF1"/>
            <w:tcMar>
              <w:top w:w="95" w:type="dxa"/>
              <w:left w:w="95" w:type="dxa"/>
              <w:bottom w:w="95" w:type="dxa"/>
              <w:right w:w="95" w:type="dxa"/>
            </w:tcMar>
          </w:tcPr>
          <w:p>
            <w:pPr>
              <w:spacing w:after="40" w:before="40" w:line="252" w:lineRule="auto"/>
            </w:pPr>
            <w:r>
              <w:rPr>
                <w:b/>
                <w:sz w:val="20"/>
              </w:rPr>
              <w:t>Display name</w:t>
            </w:r>
          </w:p>
        </w:tc>
        <w:tc>
          <w:tcPr>
            <w:tcW w:type="dxa" w:w="792"/>
            <w:vAlign w:val="center"/>
            <w:shd w:fill="E2EBF1"/>
            <w:tcMar>
              <w:top w:w="95" w:type="dxa"/>
              <w:left w:w="95" w:type="dxa"/>
              <w:bottom w:w="95" w:type="dxa"/>
              <w:right w:w="95" w:type="dxa"/>
            </w:tcMar>
          </w:tcPr>
          <w:p>
            <w:pPr>
              <w:spacing w:after="40" w:before="40" w:line="252" w:lineRule="auto"/>
            </w:pPr>
            <w:r>
              <w:rPr>
                <w:b/>
                <w:sz w:val="20"/>
              </w:rPr>
              <w:t>ID</w:t>
            </w:r>
          </w:p>
        </w:tc>
        <w:tc>
          <w:tcPr>
            <w:tcW w:type="dxa" w:w="4248"/>
            <w:vAlign w:val="center"/>
            <w:shd w:fill="E2EBF1"/>
            <w:tcMar>
              <w:top w:w="95" w:type="dxa"/>
              <w:left w:w="95" w:type="dxa"/>
              <w:bottom w:w="95" w:type="dxa"/>
              <w:right w:w="95" w:type="dxa"/>
            </w:tcMar>
          </w:tcPr>
          <w:p>
            <w:pPr>
              <w:spacing w:after="40" w:before="40" w:line="252" w:lineRule="auto"/>
            </w:pPr>
            <w:r>
              <w:rPr>
                <w:b/>
                <w:sz w:val="20"/>
              </w:rPr>
              <w:t>Display name</w:t>
            </w:r>
          </w:p>
        </w:tc>
      </w:tr>
      <w:tr>
        <w:trPr>
          <w:cantSplit/>
        </w:trPr>
        <w:tc>
          <w:tcPr>
            <w:tcW w:type="dxa" w:w="792"/>
            <w:vAlign w:val="center"/>
            <w:shd w:fill="FFFFFF"/>
            <w:tcMar>
              <w:top w:w="95" w:type="dxa"/>
              <w:left w:w="95" w:type="dxa"/>
              <w:bottom w:w="95" w:type="dxa"/>
              <w:right w:w="95" w:type="dxa"/>
            </w:tcMar>
          </w:tcPr>
          <w:p>
            <w:pPr>
              <w:spacing w:after="40" w:before="40" w:line="252" w:lineRule="auto"/>
              <w:jc w:val="center"/>
            </w:pPr>
            <w:r>
              <w:rPr>
                <w:sz w:val="20"/>
              </w:rPr>
              <w:t>P01</w:t>
            </w:r>
          </w:p>
        </w:tc>
        <w:tc>
          <w:tcPr>
            <w:tcW w:type="dxa" w:w="4248"/>
            <w:vAlign w:val="center"/>
            <w:shd w:fill="FFFFFF"/>
            <w:tcMar>
              <w:top w:w="95" w:type="dxa"/>
              <w:left w:w="95" w:type="dxa"/>
              <w:bottom w:w="95" w:type="dxa"/>
              <w:right w:w="95" w:type="dxa"/>
            </w:tcMar>
          </w:tcPr>
          <w:p>
            <w:pPr>
              <w:spacing w:after="40" w:before="40" w:line="252" w:lineRule="auto"/>
            </w:pPr>
            <w:r>
              <w:rPr>
                <w:sz w:val="20"/>
              </w:rPr>
              <w:t>Confidentiality</w:t>
            </w:r>
          </w:p>
        </w:tc>
        <w:tc>
          <w:tcPr>
            <w:tcW w:type="dxa" w:w="792"/>
            <w:vAlign w:val="center"/>
            <w:shd w:fill="FFFFFF"/>
            <w:tcMar>
              <w:top w:w="95" w:type="dxa"/>
              <w:left w:w="95" w:type="dxa"/>
              <w:bottom w:w="95" w:type="dxa"/>
              <w:right w:w="95" w:type="dxa"/>
            </w:tcMar>
          </w:tcPr>
          <w:p>
            <w:pPr>
              <w:spacing w:after="40" w:before="40" w:line="252" w:lineRule="auto"/>
            </w:pPr>
            <w:r>
              <w:rPr>
                <w:sz w:val="20"/>
              </w:rPr>
              <w:t>P13</w:t>
            </w:r>
          </w:p>
        </w:tc>
        <w:tc>
          <w:tcPr>
            <w:tcW w:type="dxa" w:w="4248"/>
            <w:vAlign w:val="center"/>
            <w:shd w:fill="FFFFFF"/>
            <w:tcMar>
              <w:top w:w="95" w:type="dxa"/>
              <w:left w:w="95" w:type="dxa"/>
              <w:bottom w:w="95" w:type="dxa"/>
              <w:right w:w="95" w:type="dxa"/>
            </w:tcMar>
          </w:tcPr>
          <w:p>
            <w:pPr>
              <w:spacing w:after="40" w:before="40" w:line="252" w:lineRule="auto"/>
            </w:pPr>
            <w:r>
              <w:rPr>
                <w:sz w:val="20"/>
              </w:rPr>
              <w:t>Action Integrity</w:t>
            </w:r>
          </w:p>
        </w:tc>
      </w:tr>
      <w:tr>
        <w:trPr>
          <w:cantSplit/>
        </w:trPr>
        <w:tc>
          <w:tcPr>
            <w:tcW w:type="dxa" w:w="792"/>
            <w:vAlign w:val="center"/>
            <w:shd w:fill="FFFFFF"/>
            <w:tcMar>
              <w:top w:w="95" w:type="dxa"/>
              <w:left w:w="95" w:type="dxa"/>
              <w:bottom w:w="95" w:type="dxa"/>
              <w:right w:w="95" w:type="dxa"/>
            </w:tcMar>
          </w:tcPr>
          <w:p>
            <w:pPr>
              <w:spacing w:after="40" w:before="40" w:line="252" w:lineRule="auto"/>
              <w:jc w:val="center"/>
            </w:pPr>
            <w:r>
              <w:rPr>
                <w:sz w:val="20"/>
              </w:rPr>
              <w:t>P02</w:t>
            </w:r>
          </w:p>
        </w:tc>
        <w:tc>
          <w:tcPr>
            <w:tcW w:type="dxa" w:w="4248"/>
            <w:vAlign w:val="center"/>
            <w:shd w:fill="FFFFFF"/>
            <w:tcMar>
              <w:top w:w="95" w:type="dxa"/>
              <w:left w:w="95" w:type="dxa"/>
              <w:bottom w:w="95" w:type="dxa"/>
              <w:right w:w="95" w:type="dxa"/>
            </w:tcMar>
          </w:tcPr>
          <w:p>
            <w:pPr>
              <w:spacing w:after="40" w:before="40" w:line="252" w:lineRule="auto"/>
            </w:pPr>
            <w:r>
              <w:rPr>
                <w:sz w:val="20"/>
              </w:rPr>
              <w:t>Integrity</w:t>
            </w:r>
          </w:p>
        </w:tc>
        <w:tc>
          <w:tcPr>
            <w:tcW w:type="dxa" w:w="792"/>
            <w:vAlign w:val="center"/>
            <w:shd w:fill="FFFFFF"/>
            <w:tcMar>
              <w:top w:w="95" w:type="dxa"/>
              <w:left w:w="95" w:type="dxa"/>
              <w:bottom w:w="95" w:type="dxa"/>
              <w:right w:w="95" w:type="dxa"/>
            </w:tcMar>
          </w:tcPr>
          <w:p>
            <w:pPr>
              <w:spacing w:after="40" w:before="40" w:line="252" w:lineRule="auto"/>
            </w:pPr>
            <w:r>
              <w:rPr>
                <w:sz w:val="20"/>
              </w:rPr>
              <w:t>P14</w:t>
            </w:r>
          </w:p>
        </w:tc>
        <w:tc>
          <w:tcPr>
            <w:tcW w:type="dxa" w:w="4248"/>
            <w:vAlign w:val="center"/>
            <w:shd w:fill="FFFFFF"/>
            <w:tcMar>
              <w:top w:w="95" w:type="dxa"/>
              <w:left w:w="95" w:type="dxa"/>
              <w:bottom w:w="95" w:type="dxa"/>
              <w:right w:w="95" w:type="dxa"/>
            </w:tcMar>
          </w:tcPr>
          <w:p>
            <w:pPr>
              <w:spacing w:after="40" w:before="40" w:line="252" w:lineRule="auto"/>
            </w:pPr>
            <w:r>
              <w:rPr>
                <w:sz w:val="20"/>
              </w:rPr>
              <w:t>Controllability</w:t>
            </w:r>
          </w:p>
        </w:tc>
      </w:tr>
      <w:tr>
        <w:trPr>
          <w:cantSplit/>
        </w:trPr>
        <w:tc>
          <w:tcPr>
            <w:tcW w:type="dxa" w:w="792"/>
            <w:vAlign w:val="center"/>
            <w:shd w:fill="FFFFFF"/>
            <w:tcMar>
              <w:top w:w="95" w:type="dxa"/>
              <w:left w:w="95" w:type="dxa"/>
              <w:bottom w:w="95" w:type="dxa"/>
              <w:right w:w="95" w:type="dxa"/>
            </w:tcMar>
          </w:tcPr>
          <w:p>
            <w:pPr>
              <w:spacing w:after="40" w:before="40" w:line="252" w:lineRule="auto"/>
              <w:jc w:val="center"/>
            </w:pPr>
            <w:r>
              <w:rPr>
                <w:sz w:val="20"/>
              </w:rPr>
              <w:t>P03</w:t>
            </w:r>
          </w:p>
        </w:tc>
        <w:tc>
          <w:tcPr>
            <w:tcW w:type="dxa" w:w="4248"/>
            <w:vAlign w:val="center"/>
            <w:shd w:fill="FFFFFF"/>
            <w:tcMar>
              <w:top w:w="95" w:type="dxa"/>
              <w:left w:w="95" w:type="dxa"/>
              <w:bottom w:w="95" w:type="dxa"/>
              <w:right w:w="95" w:type="dxa"/>
            </w:tcMar>
          </w:tcPr>
          <w:p>
            <w:pPr>
              <w:spacing w:after="40" w:before="40" w:line="252" w:lineRule="auto"/>
            </w:pPr>
            <w:r>
              <w:rPr>
                <w:sz w:val="20"/>
              </w:rPr>
              <w:t>Availability</w:t>
            </w:r>
          </w:p>
        </w:tc>
        <w:tc>
          <w:tcPr>
            <w:tcW w:type="dxa" w:w="792"/>
            <w:vAlign w:val="center"/>
            <w:shd w:fill="FFFFFF"/>
            <w:tcMar>
              <w:top w:w="95" w:type="dxa"/>
              <w:left w:w="95" w:type="dxa"/>
              <w:bottom w:w="95" w:type="dxa"/>
              <w:right w:w="95" w:type="dxa"/>
            </w:tcMar>
          </w:tcPr>
          <w:p>
            <w:pPr>
              <w:spacing w:after="40" w:before="40" w:line="252" w:lineRule="auto"/>
            </w:pPr>
            <w:r>
              <w:rPr>
                <w:sz w:val="20"/>
              </w:rPr>
              <w:t>P15</w:t>
            </w:r>
          </w:p>
        </w:tc>
        <w:tc>
          <w:tcPr>
            <w:tcW w:type="dxa" w:w="4248"/>
            <w:vAlign w:val="center"/>
            <w:shd w:fill="FFFFFF"/>
            <w:tcMar>
              <w:top w:w="95" w:type="dxa"/>
              <w:left w:w="95" w:type="dxa"/>
              <w:bottom w:w="95" w:type="dxa"/>
              <w:right w:w="95" w:type="dxa"/>
            </w:tcMar>
          </w:tcPr>
          <w:p>
            <w:pPr>
              <w:spacing w:after="40" w:before="40" w:line="252" w:lineRule="auto"/>
            </w:pPr>
            <w:r>
              <w:rPr>
                <w:sz w:val="20"/>
              </w:rPr>
              <w:t>Planning Integrity</w:t>
            </w:r>
          </w:p>
        </w:tc>
      </w:tr>
      <w:tr>
        <w:trPr>
          <w:cantSplit/>
        </w:trPr>
        <w:tc>
          <w:tcPr>
            <w:tcW w:type="dxa" w:w="792"/>
            <w:vAlign w:val="center"/>
            <w:shd w:fill="FFFFFF"/>
            <w:tcMar>
              <w:top w:w="95" w:type="dxa"/>
              <w:left w:w="95" w:type="dxa"/>
              <w:bottom w:w="95" w:type="dxa"/>
              <w:right w:w="95" w:type="dxa"/>
            </w:tcMar>
          </w:tcPr>
          <w:p>
            <w:pPr>
              <w:spacing w:after="40" w:before="40" w:line="252" w:lineRule="auto"/>
              <w:jc w:val="center"/>
            </w:pPr>
            <w:r>
              <w:rPr>
                <w:sz w:val="20"/>
              </w:rPr>
              <w:t>P04</w:t>
            </w:r>
          </w:p>
        </w:tc>
        <w:tc>
          <w:tcPr>
            <w:tcW w:type="dxa" w:w="4248"/>
            <w:vAlign w:val="center"/>
            <w:shd w:fill="FFFFFF"/>
            <w:tcMar>
              <w:top w:w="95" w:type="dxa"/>
              <w:left w:w="95" w:type="dxa"/>
              <w:bottom w:w="95" w:type="dxa"/>
              <w:right w:w="95" w:type="dxa"/>
            </w:tcMar>
          </w:tcPr>
          <w:p>
            <w:pPr>
              <w:spacing w:after="40" w:before="40" w:line="252" w:lineRule="auto"/>
            </w:pPr>
            <w:r>
              <w:rPr>
                <w:sz w:val="20"/>
              </w:rPr>
              <w:t>Instruction Integrity</w:t>
            </w:r>
          </w:p>
        </w:tc>
        <w:tc>
          <w:tcPr>
            <w:tcW w:type="dxa" w:w="792"/>
            <w:vAlign w:val="center"/>
            <w:shd w:fill="FFFFFF"/>
            <w:tcMar>
              <w:top w:w="95" w:type="dxa"/>
              <w:left w:w="95" w:type="dxa"/>
              <w:bottom w:w="95" w:type="dxa"/>
              <w:right w:w="95" w:type="dxa"/>
            </w:tcMar>
          </w:tcPr>
          <w:p>
            <w:pPr>
              <w:spacing w:after="40" w:before="40" w:line="252" w:lineRule="auto"/>
            </w:pPr>
            <w:r>
              <w:rPr>
                <w:sz w:val="20"/>
              </w:rPr>
              <w:t>P16</w:t>
            </w:r>
          </w:p>
        </w:tc>
        <w:tc>
          <w:tcPr>
            <w:tcW w:type="dxa" w:w="4248"/>
            <w:vAlign w:val="center"/>
            <w:shd w:fill="FFFFFF"/>
            <w:tcMar>
              <w:top w:w="95" w:type="dxa"/>
              <w:left w:w="95" w:type="dxa"/>
              <w:bottom w:w="95" w:type="dxa"/>
              <w:right w:w="95" w:type="dxa"/>
            </w:tcMar>
          </w:tcPr>
          <w:p>
            <w:pPr>
              <w:spacing w:after="40" w:before="40" w:line="252" w:lineRule="auto"/>
            </w:pPr>
            <w:r>
              <w:rPr>
                <w:sz w:val="20"/>
              </w:rPr>
              <w:t>Delegation Integrity</w:t>
            </w:r>
          </w:p>
        </w:tc>
      </w:tr>
      <w:tr>
        <w:trPr>
          <w:cantSplit/>
        </w:trPr>
        <w:tc>
          <w:tcPr>
            <w:tcW w:type="dxa" w:w="792"/>
            <w:vAlign w:val="center"/>
            <w:shd w:fill="FFFFFF"/>
            <w:tcMar>
              <w:top w:w="95" w:type="dxa"/>
              <w:left w:w="95" w:type="dxa"/>
              <w:bottom w:w="95" w:type="dxa"/>
              <w:right w:w="95" w:type="dxa"/>
            </w:tcMar>
          </w:tcPr>
          <w:p>
            <w:pPr>
              <w:spacing w:after="40" w:before="40" w:line="252" w:lineRule="auto"/>
              <w:jc w:val="center"/>
            </w:pPr>
            <w:r>
              <w:rPr>
                <w:sz w:val="20"/>
              </w:rPr>
              <w:t>P05</w:t>
            </w:r>
          </w:p>
        </w:tc>
        <w:tc>
          <w:tcPr>
            <w:tcW w:type="dxa" w:w="4248"/>
            <w:vAlign w:val="center"/>
            <w:shd w:fill="FFFFFF"/>
            <w:tcMar>
              <w:top w:w="95" w:type="dxa"/>
              <w:left w:w="95" w:type="dxa"/>
              <w:bottom w:w="95" w:type="dxa"/>
              <w:right w:w="95" w:type="dxa"/>
            </w:tcMar>
          </w:tcPr>
          <w:p>
            <w:pPr>
              <w:spacing w:after="40" w:before="40" w:line="252" w:lineRule="auto"/>
            </w:pPr>
            <w:r>
              <w:rPr>
                <w:sz w:val="20"/>
              </w:rPr>
              <w:t>Context Integrity</w:t>
            </w:r>
          </w:p>
        </w:tc>
        <w:tc>
          <w:tcPr>
            <w:tcW w:type="dxa" w:w="792"/>
            <w:vAlign w:val="center"/>
            <w:shd w:fill="FFFFFF"/>
            <w:tcMar>
              <w:top w:w="95" w:type="dxa"/>
              <w:left w:w="95" w:type="dxa"/>
              <w:bottom w:w="95" w:type="dxa"/>
              <w:right w:w="95" w:type="dxa"/>
            </w:tcMar>
          </w:tcPr>
          <w:p>
            <w:pPr>
              <w:spacing w:after="40" w:before="40" w:line="252" w:lineRule="auto"/>
            </w:pPr>
            <w:r>
              <w:rPr>
                <w:sz w:val="20"/>
              </w:rPr>
              <w:t>P17</w:t>
            </w:r>
          </w:p>
        </w:tc>
        <w:tc>
          <w:tcPr>
            <w:tcW w:type="dxa" w:w="4248"/>
            <w:vAlign w:val="center"/>
            <w:shd w:fill="FFFFFF"/>
            <w:tcMar>
              <w:top w:w="95" w:type="dxa"/>
              <w:left w:w="95" w:type="dxa"/>
              <w:bottom w:w="95" w:type="dxa"/>
              <w:right w:w="95" w:type="dxa"/>
            </w:tcMar>
          </w:tcPr>
          <w:p>
            <w:pPr>
              <w:spacing w:after="40" w:before="40" w:line="252" w:lineRule="auto"/>
            </w:pPr>
            <w:r>
              <w:rPr>
                <w:sz w:val="20"/>
              </w:rPr>
              <w:t>Temporal Integrity</w:t>
            </w:r>
          </w:p>
        </w:tc>
      </w:tr>
      <w:tr>
        <w:trPr>
          <w:cantSplit/>
        </w:trPr>
        <w:tc>
          <w:tcPr>
            <w:tcW w:type="dxa" w:w="792"/>
            <w:vAlign w:val="center"/>
            <w:shd w:fill="FFFFFF"/>
            <w:tcMar>
              <w:top w:w="95" w:type="dxa"/>
              <w:left w:w="95" w:type="dxa"/>
              <w:bottom w:w="95" w:type="dxa"/>
              <w:right w:w="95" w:type="dxa"/>
            </w:tcMar>
          </w:tcPr>
          <w:p>
            <w:pPr>
              <w:spacing w:after="40" w:before="40" w:line="252" w:lineRule="auto"/>
              <w:jc w:val="center"/>
            </w:pPr>
            <w:r>
              <w:rPr>
                <w:sz w:val="20"/>
              </w:rPr>
              <w:t>P06</w:t>
            </w:r>
          </w:p>
        </w:tc>
        <w:tc>
          <w:tcPr>
            <w:tcW w:type="dxa" w:w="4248"/>
            <w:vAlign w:val="center"/>
            <w:shd w:fill="FFFFFF"/>
            <w:tcMar>
              <w:top w:w="95" w:type="dxa"/>
              <w:left w:w="95" w:type="dxa"/>
              <w:bottom w:w="95" w:type="dxa"/>
              <w:right w:w="95" w:type="dxa"/>
            </w:tcMar>
          </w:tcPr>
          <w:p>
            <w:pPr>
              <w:spacing w:after="40" w:before="40" w:line="252" w:lineRule="auto"/>
            </w:pPr>
            <w:r>
              <w:rPr>
                <w:sz w:val="20"/>
              </w:rPr>
              <w:t>Knowledge Integrity</w:t>
            </w:r>
          </w:p>
        </w:tc>
        <w:tc>
          <w:tcPr>
            <w:tcW w:type="dxa" w:w="792"/>
            <w:vAlign w:val="center"/>
            <w:shd w:fill="FFFFFF"/>
            <w:tcMar>
              <w:top w:w="95" w:type="dxa"/>
              <w:left w:w="95" w:type="dxa"/>
              <w:bottom w:w="95" w:type="dxa"/>
              <w:right w:w="95" w:type="dxa"/>
            </w:tcMar>
          </w:tcPr>
          <w:p>
            <w:pPr>
              <w:spacing w:after="40" w:before="40" w:line="252" w:lineRule="auto"/>
            </w:pPr>
            <w:r>
              <w:rPr>
                <w:sz w:val="20"/>
              </w:rPr>
              <w:t>P18</w:t>
            </w:r>
          </w:p>
        </w:tc>
        <w:tc>
          <w:tcPr>
            <w:tcW w:type="dxa" w:w="4248"/>
            <w:vAlign w:val="center"/>
            <w:shd w:fill="FFFFFF"/>
            <w:tcMar>
              <w:top w:w="95" w:type="dxa"/>
              <w:left w:w="95" w:type="dxa"/>
              <w:bottom w:w="95" w:type="dxa"/>
              <w:right w:w="95" w:type="dxa"/>
            </w:tcMar>
          </w:tcPr>
          <w:p>
            <w:pPr>
              <w:spacing w:after="40" w:before="40" w:line="252" w:lineRule="auto"/>
            </w:pPr>
            <w:r>
              <w:rPr>
                <w:sz w:val="20"/>
              </w:rPr>
              <w:t>Decision Integrity</w:t>
            </w:r>
          </w:p>
        </w:tc>
      </w:tr>
      <w:tr>
        <w:trPr>
          <w:cantSplit/>
        </w:trPr>
        <w:tc>
          <w:tcPr>
            <w:tcW w:type="dxa" w:w="792"/>
            <w:vAlign w:val="center"/>
            <w:shd w:fill="FFFFFF"/>
            <w:tcMar>
              <w:top w:w="95" w:type="dxa"/>
              <w:left w:w="95" w:type="dxa"/>
              <w:bottom w:w="95" w:type="dxa"/>
              <w:right w:w="95" w:type="dxa"/>
            </w:tcMar>
          </w:tcPr>
          <w:p>
            <w:pPr>
              <w:spacing w:after="40" w:before="40" w:line="252" w:lineRule="auto"/>
              <w:jc w:val="center"/>
            </w:pPr>
            <w:r>
              <w:rPr>
                <w:sz w:val="20"/>
              </w:rPr>
              <w:t>P07</w:t>
            </w:r>
          </w:p>
        </w:tc>
        <w:tc>
          <w:tcPr>
            <w:tcW w:type="dxa" w:w="4248"/>
            <w:vAlign w:val="center"/>
            <w:shd w:fill="FFFFFF"/>
            <w:tcMar>
              <w:top w:w="95" w:type="dxa"/>
              <w:left w:w="95" w:type="dxa"/>
              <w:bottom w:w="95" w:type="dxa"/>
              <w:right w:w="95" w:type="dxa"/>
            </w:tcMar>
          </w:tcPr>
          <w:p>
            <w:pPr>
              <w:spacing w:after="40" w:before="40" w:line="252" w:lineRule="auto"/>
            </w:pPr>
            <w:r>
              <w:rPr>
                <w:sz w:val="20"/>
              </w:rPr>
              <w:t>Memory Integrity</w:t>
            </w:r>
          </w:p>
        </w:tc>
        <w:tc>
          <w:tcPr>
            <w:tcW w:type="dxa" w:w="792"/>
            <w:vAlign w:val="center"/>
            <w:shd w:fill="FFFFFF"/>
            <w:tcMar>
              <w:top w:w="95" w:type="dxa"/>
              <w:left w:w="95" w:type="dxa"/>
              <w:bottom w:w="95" w:type="dxa"/>
              <w:right w:w="95" w:type="dxa"/>
            </w:tcMar>
          </w:tcPr>
          <w:p>
            <w:pPr>
              <w:spacing w:after="40" w:before="40" w:line="252" w:lineRule="auto"/>
            </w:pPr>
            <w:r>
              <w:rPr>
                <w:sz w:val="20"/>
              </w:rPr>
              <w:t>P19</w:t>
            </w:r>
          </w:p>
        </w:tc>
        <w:tc>
          <w:tcPr>
            <w:tcW w:type="dxa" w:w="4248"/>
            <w:vAlign w:val="center"/>
            <w:shd w:fill="FFFFFF"/>
            <w:tcMar>
              <w:top w:w="95" w:type="dxa"/>
              <w:left w:w="95" w:type="dxa"/>
              <w:bottom w:w="95" w:type="dxa"/>
              <w:right w:w="95" w:type="dxa"/>
            </w:tcMar>
          </w:tcPr>
          <w:p>
            <w:pPr>
              <w:spacing w:after="40" w:before="40" w:line="252" w:lineRule="auto"/>
            </w:pPr>
            <w:r>
              <w:rPr>
                <w:sz w:val="20"/>
              </w:rPr>
              <w:t>Human Decision Integrity</w:t>
            </w:r>
          </w:p>
        </w:tc>
      </w:tr>
      <w:tr>
        <w:trPr>
          <w:cantSplit/>
        </w:trPr>
        <w:tc>
          <w:tcPr>
            <w:tcW w:type="dxa" w:w="792"/>
            <w:vAlign w:val="center"/>
            <w:shd w:fill="FFFFFF"/>
            <w:tcMar>
              <w:top w:w="95" w:type="dxa"/>
              <w:left w:w="95" w:type="dxa"/>
              <w:bottom w:w="95" w:type="dxa"/>
              <w:right w:w="95" w:type="dxa"/>
            </w:tcMar>
          </w:tcPr>
          <w:p>
            <w:pPr>
              <w:spacing w:after="40" w:before="40" w:line="252" w:lineRule="auto"/>
              <w:jc w:val="center"/>
            </w:pPr>
            <w:r>
              <w:rPr>
                <w:sz w:val="20"/>
              </w:rPr>
              <w:t>P08</w:t>
            </w:r>
          </w:p>
        </w:tc>
        <w:tc>
          <w:tcPr>
            <w:tcW w:type="dxa" w:w="4248"/>
            <w:vAlign w:val="center"/>
            <w:shd w:fill="FFFFFF"/>
            <w:tcMar>
              <w:top w:w="95" w:type="dxa"/>
              <w:left w:w="95" w:type="dxa"/>
              <w:bottom w:w="95" w:type="dxa"/>
              <w:right w:w="95" w:type="dxa"/>
            </w:tcMar>
          </w:tcPr>
          <w:p>
            <w:pPr>
              <w:spacing w:after="40" w:before="40" w:line="252" w:lineRule="auto"/>
            </w:pPr>
            <w:r>
              <w:rPr>
                <w:sz w:val="20"/>
              </w:rPr>
              <w:t>Identity Integrity</w:t>
            </w:r>
          </w:p>
        </w:tc>
        <w:tc>
          <w:tcPr>
            <w:tcW w:type="dxa" w:w="792"/>
            <w:vAlign w:val="center"/>
            <w:shd w:fill="FFFFFF"/>
            <w:tcMar>
              <w:top w:w="95" w:type="dxa"/>
              <w:left w:w="95" w:type="dxa"/>
              <w:bottom w:w="95" w:type="dxa"/>
              <w:right w:w="95" w:type="dxa"/>
            </w:tcMar>
          </w:tcPr>
          <w:p>
            <w:pPr>
              <w:spacing w:after="40" w:before="40" w:line="252" w:lineRule="auto"/>
            </w:pPr>
            <w:r>
              <w:rPr>
                <w:sz w:val="20"/>
              </w:rPr>
              <w:t>P20</w:t>
            </w:r>
          </w:p>
        </w:tc>
        <w:tc>
          <w:tcPr>
            <w:tcW w:type="dxa" w:w="4248"/>
            <w:vAlign w:val="center"/>
            <w:shd w:fill="FFFFFF"/>
            <w:tcMar>
              <w:top w:w="95" w:type="dxa"/>
              <w:left w:w="95" w:type="dxa"/>
              <w:bottom w:w="95" w:type="dxa"/>
              <w:right w:w="95" w:type="dxa"/>
            </w:tcMar>
          </w:tcPr>
          <w:p>
            <w:pPr>
              <w:spacing w:after="40" w:before="40" w:line="252" w:lineRule="auto"/>
            </w:pPr>
            <w:r>
              <w:rPr>
                <w:sz w:val="20"/>
              </w:rPr>
              <w:t>Attribution Integrity</w:t>
            </w:r>
          </w:p>
        </w:tc>
      </w:tr>
      <w:tr>
        <w:trPr>
          <w:cantSplit/>
        </w:trPr>
        <w:tc>
          <w:tcPr>
            <w:tcW w:type="dxa" w:w="792"/>
            <w:vAlign w:val="center"/>
            <w:shd w:fill="FFFFFF"/>
            <w:tcMar>
              <w:top w:w="95" w:type="dxa"/>
              <w:left w:w="95" w:type="dxa"/>
              <w:bottom w:w="95" w:type="dxa"/>
              <w:right w:w="95" w:type="dxa"/>
            </w:tcMar>
          </w:tcPr>
          <w:p>
            <w:pPr>
              <w:spacing w:after="40" w:before="40" w:line="252" w:lineRule="auto"/>
              <w:jc w:val="center"/>
            </w:pPr>
            <w:r>
              <w:rPr>
                <w:sz w:val="20"/>
              </w:rPr>
              <w:t>P09</w:t>
            </w:r>
          </w:p>
        </w:tc>
        <w:tc>
          <w:tcPr>
            <w:tcW w:type="dxa" w:w="4248"/>
            <w:vAlign w:val="center"/>
            <w:shd w:fill="FFFFFF"/>
            <w:tcMar>
              <w:top w:w="95" w:type="dxa"/>
              <w:left w:w="95" w:type="dxa"/>
              <w:bottom w:w="95" w:type="dxa"/>
              <w:right w:w="95" w:type="dxa"/>
            </w:tcMar>
          </w:tcPr>
          <w:p>
            <w:pPr>
              <w:spacing w:after="40" w:before="40" w:line="252" w:lineRule="auto"/>
            </w:pPr>
            <w:r>
              <w:rPr>
                <w:sz w:val="20"/>
              </w:rPr>
              <w:t>Objective Integrity</w:t>
            </w:r>
          </w:p>
        </w:tc>
        <w:tc>
          <w:tcPr>
            <w:tcW w:type="dxa" w:w="792"/>
            <w:vAlign w:val="center"/>
            <w:shd w:fill="FFFFFF"/>
            <w:tcMar>
              <w:top w:w="95" w:type="dxa"/>
              <w:left w:w="95" w:type="dxa"/>
              <w:bottom w:w="95" w:type="dxa"/>
              <w:right w:w="95" w:type="dxa"/>
            </w:tcMar>
          </w:tcPr>
          <w:p>
            <w:pPr>
              <w:spacing w:after="40" w:before="40" w:line="252" w:lineRule="auto"/>
            </w:pPr>
            <w:r>
              <w:rPr>
                <w:sz w:val="20"/>
              </w:rPr>
              <w:t>P21</w:t>
            </w:r>
          </w:p>
        </w:tc>
        <w:tc>
          <w:tcPr>
            <w:tcW w:type="dxa" w:w="4248"/>
            <w:vAlign w:val="center"/>
            <w:shd w:fill="FFFFFF"/>
            <w:tcMar>
              <w:top w:w="95" w:type="dxa"/>
              <w:left w:w="95" w:type="dxa"/>
              <w:bottom w:w="95" w:type="dxa"/>
              <w:right w:w="95" w:type="dxa"/>
            </w:tcMar>
          </w:tcPr>
          <w:p>
            <w:pPr>
              <w:spacing w:after="40" w:before="40" w:line="252" w:lineRule="auto"/>
            </w:pPr>
            <w:r>
              <w:rPr>
                <w:sz w:val="20"/>
              </w:rPr>
              <w:t>Trust Integrity</w:t>
            </w:r>
          </w:p>
        </w:tc>
      </w:tr>
      <w:tr>
        <w:trPr>
          <w:cantSplit/>
        </w:trPr>
        <w:tc>
          <w:tcPr>
            <w:tcW w:type="dxa" w:w="792"/>
            <w:vAlign w:val="center"/>
            <w:shd w:fill="FFFFFF"/>
            <w:tcMar>
              <w:top w:w="95" w:type="dxa"/>
              <w:left w:w="95" w:type="dxa"/>
              <w:bottom w:w="95" w:type="dxa"/>
              <w:right w:w="95" w:type="dxa"/>
            </w:tcMar>
          </w:tcPr>
          <w:p>
            <w:pPr>
              <w:spacing w:after="40" w:before="40" w:line="252" w:lineRule="auto"/>
              <w:jc w:val="center"/>
            </w:pPr>
            <w:r>
              <w:rPr>
                <w:sz w:val="20"/>
              </w:rPr>
              <w:t>P10</w:t>
            </w:r>
          </w:p>
        </w:tc>
        <w:tc>
          <w:tcPr>
            <w:tcW w:type="dxa" w:w="4248"/>
            <w:vAlign w:val="center"/>
            <w:shd w:fill="FFFFFF"/>
            <w:tcMar>
              <w:top w:w="95" w:type="dxa"/>
              <w:left w:w="95" w:type="dxa"/>
              <w:bottom w:w="95" w:type="dxa"/>
              <w:right w:w="95" w:type="dxa"/>
            </w:tcMar>
          </w:tcPr>
          <w:p>
            <w:pPr>
              <w:spacing w:after="40" w:before="40" w:line="252" w:lineRule="auto"/>
            </w:pPr>
            <w:r>
              <w:rPr>
                <w:sz w:val="20"/>
              </w:rPr>
              <w:t>Behavioral Integrity</w:t>
            </w:r>
          </w:p>
        </w:tc>
        <w:tc>
          <w:tcPr>
            <w:tcW w:type="dxa" w:w="792"/>
            <w:vAlign w:val="center"/>
            <w:shd w:fill="FFFFFF"/>
            <w:tcMar>
              <w:top w:w="95" w:type="dxa"/>
              <w:left w:w="95" w:type="dxa"/>
              <w:bottom w:w="95" w:type="dxa"/>
              <w:right w:w="95" w:type="dxa"/>
            </w:tcMar>
          </w:tcPr>
          <w:p>
            <w:pPr>
              <w:spacing w:after="40" w:before="40" w:line="252" w:lineRule="auto"/>
            </w:pPr>
            <w:r>
              <w:rPr>
                <w:sz w:val="20"/>
              </w:rPr>
              <w:t>P22</w:t>
            </w:r>
          </w:p>
        </w:tc>
        <w:tc>
          <w:tcPr>
            <w:tcW w:type="dxa" w:w="4248"/>
            <w:vAlign w:val="center"/>
            <w:shd w:fill="FFFFFF"/>
            <w:tcMar>
              <w:top w:w="95" w:type="dxa"/>
              <w:left w:w="95" w:type="dxa"/>
              <w:bottom w:w="95" w:type="dxa"/>
              <w:right w:w="95" w:type="dxa"/>
            </w:tcMar>
          </w:tcPr>
          <w:p>
            <w:pPr>
              <w:spacing w:after="40" w:before="40" w:line="252" w:lineRule="auto"/>
            </w:pPr>
            <w:r>
              <w:rPr>
                <w:sz w:val="20"/>
              </w:rPr>
              <w:t>Perception Integrity</w:t>
            </w:r>
          </w:p>
        </w:tc>
      </w:tr>
      <w:tr>
        <w:trPr>
          <w:cantSplit/>
        </w:trPr>
        <w:tc>
          <w:tcPr>
            <w:tcW w:type="dxa" w:w="792"/>
            <w:vAlign w:val="center"/>
            <w:shd w:fill="FFFFFF"/>
            <w:tcMar>
              <w:top w:w="95" w:type="dxa"/>
              <w:left w:w="95" w:type="dxa"/>
              <w:bottom w:w="95" w:type="dxa"/>
              <w:right w:w="95" w:type="dxa"/>
            </w:tcMar>
          </w:tcPr>
          <w:p>
            <w:pPr>
              <w:spacing w:after="40" w:before="40" w:line="252" w:lineRule="auto"/>
              <w:jc w:val="center"/>
            </w:pPr>
            <w:r>
              <w:rPr>
                <w:sz w:val="20"/>
              </w:rPr>
              <w:t>P11</w:t>
            </w:r>
          </w:p>
        </w:tc>
        <w:tc>
          <w:tcPr>
            <w:tcW w:type="dxa" w:w="4248"/>
            <w:vAlign w:val="center"/>
            <w:shd w:fill="FFFFFF"/>
            <w:tcMar>
              <w:top w:w="95" w:type="dxa"/>
              <w:left w:w="95" w:type="dxa"/>
              <w:bottom w:w="95" w:type="dxa"/>
              <w:right w:w="95" w:type="dxa"/>
            </w:tcMar>
          </w:tcPr>
          <w:p>
            <w:pPr>
              <w:spacing w:after="40" w:before="40" w:line="252" w:lineRule="auto"/>
            </w:pPr>
            <w:r>
              <w:rPr>
                <w:sz w:val="20"/>
              </w:rPr>
              <w:t>Semantic Integrity</w:t>
            </w:r>
          </w:p>
        </w:tc>
        <w:tc>
          <w:tcPr>
            <w:tcW w:type="dxa" w:w="792"/>
            <w:vAlign w:val="center"/>
            <w:shd w:fill="FFFFFF"/>
            <w:tcMar>
              <w:top w:w="95" w:type="dxa"/>
              <w:left w:w="95" w:type="dxa"/>
              <w:bottom w:w="95" w:type="dxa"/>
              <w:right w:w="95" w:type="dxa"/>
            </w:tcMar>
          </w:tcPr>
          <w:p>
            <w:pPr>
              <w:spacing w:after="40" w:before="40" w:line="252" w:lineRule="auto"/>
            </w:pPr>
            <w:r>
              <w:rPr>
                <w:sz w:val="20"/>
              </w:rPr>
              <w:t>P23</w:t>
            </w:r>
          </w:p>
        </w:tc>
        <w:tc>
          <w:tcPr>
            <w:tcW w:type="dxa" w:w="4248"/>
            <w:vAlign w:val="center"/>
            <w:shd w:fill="FFFFFF"/>
            <w:tcMar>
              <w:top w:w="95" w:type="dxa"/>
              <w:left w:w="95" w:type="dxa"/>
              <w:bottom w:w="95" w:type="dxa"/>
              <w:right w:w="95" w:type="dxa"/>
            </w:tcMar>
          </w:tcPr>
          <w:p>
            <w:pPr>
              <w:spacing w:after="40" w:before="40" w:line="252" w:lineRule="auto"/>
            </w:pPr>
            <w:r>
              <w:rPr>
                <w:sz w:val="20"/>
              </w:rPr>
              <w:t>World-Model Integrity</w:t>
            </w:r>
          </w:p>
        </w:tc>
      </w:tr>
      <w:tr>
        <w:trPr>
          <w:cantSplit/>
        </w:trPr>
        <w:tc>
          <w:tcPr>
            <w:tcW w:type="dxa" w:w="792"/>
            <w:vAlign w:val="center"/>
            <w:shd w:fill="FFFFFF"/>
            <w:tcMar>
              <w:top w:w="95" w:type="dxa"/>
              <w:left w:w="95" w:type="dxa"/>
              <w:bottom w:w="95" w:type="dxa"/>
              <w:right w:w="95" w:type="dxa"/>
            </w:tcMar>
          </w:tcPr>
          <w:p>
            <w:pPr>
              <w:spacing w:after="40" w:before="40" w:line="252" w:lineRule="auto"/>
              <w:jc w:val="center"/>
            </w:pPr>
            <w:r>
              <w:rPr>
                <w:sz w:val="20"/>
              </w:rPr>
              <w:t>P12</w:t>
            </w:r>
          </w:p>
        </w:tc>
        <w:tc>
          <w:tcPr>
            <w:tcW w:type="dxa" w:w="4248"/>
            <w:vAlign w:val="center"/>
            <w:shd w:fill="FFFFFF"/>
            <w:tcMar>
              <w:top w:w="95" w:type="dxa"/>
              <w:left w:w="95" w:type="dxa"/>
              <w:bottom w:w="95" w:type="dxa"/>
              <w:right w:w="95" w:type="dxa"/>
            </w:tcMar>
          </w:tcPr>
          <w:p>
            <w:pPr>
              <w:spacing w:after="40" w:before="40" w:line="252" w:lineRule="auto"/>
            </w:pPr>
            <w:r>
              <w:rPr>
                <w:sz w:val="20"/>
              </w:rPr>
              <w:t>Capability Integrity</w:t>
            </w:r>
          </w:p>
        </w:tc>
        <w:tc>
          <w:tcPr>
            <w:tcW w:type="dxa" w:w="792"/>
            <w:vAlign w:val="center"/>
            <w:shd w:fill="FFFFFF"/>
            <w:tcMar>
              <w:top w:w="95" w:type="dxa"/>
              <w:left w:w="95" w:type="dxa"/>
              <w:bottom w:w="95" w:type="dxa"/>
              <w:right w:w="95" w:type="dxa"/>
            </w:tcMar>
          </w:tcPr>
          <w:p>
            <w:pPr>
              <w:spacing w:after="40" w:before="40" w:line="252" w:lineRule="auto"/>
            </w:pPr>
          </w:p>
        </w:tc>
        <w:tc>
          <w:tcPr>
            <w:tcW w:type="dxa" w:w="4248"/>
            <w:vAlign w:val="center"/>
            <w:shd w:fill="FFFFFF"/>
            <w:tcMar>
              <w:top w:w="95" w:type="dxa"/>
              <w:left w:w="95" w:type="dxa"/>
              <w:bottom w:w="95" w:type="dxa"/>
              <w:right w:w="95" w:type="dxa"/>
            </w:tcMar>
          </w:tcPr>
          <w:p>
            <w:pPr>
              <w:spacing w:after="40" w:before="40" w:line="252" w:lineRule="auto"/>
            </w:pPr>
          </w:p>
        </w:tc>
      </w:tr>
    </w:tbl>
    <w:p>
      <w:pPr>
        <w:spacing w:after="20"/>
      </w:pPr>
    </w:p>
    <w:p>
      <w:pPr/>
      <w:r>
        <w:t>These are the canonical identifiers from the baseline Versioning and Identifiers document, not the presentation-order numbers used in some other source documents. A migration must inspect the actual property name and meaning when the original record used a bare paragraph number. Do not automatically convert the tenth heading of a source document to P10.</w:t>
      </w:r>
    </w:p>
    <w:p>
      <w:pPr/>
      <w:r>
        <w:t>Property overlap is intentional where obligations differ in scope. A single observation can support more than one violated obligation, but a report must explain each assertion. The count of violated properties is not a severity score. Future removal or consolidation must preserve retired definitions and explicit relationships to replacements.</w:t>
      </w:r>
    </w:p>
    <w:p>
      <w:pPr>
        <w:pStyle w:val="Heading1"/>
      </w:pPr>
      <w:r>
        <w:t>Canonical mechanism identifiers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880"/>
        <w:gridCol w:w="7200"/>
      </w:tblGrid>
      <w:tr>
        <w:trPr>
          <w:cantSplit/>
          <w:tblHeader/>
        </w:trPr>
        <w:tc>
          <w:tcPr>
            <w:tcW w:type="dxa" w:w="2880"/>
            <w:vAlign w:val="center"/>
            <w:shd w:fill="E2EBF1"/>
            <w:tcMar>
              <w:top w:w="95" w:type="dxa"/>
              <w:left w:w="95" w:type="dxa"/>
              <w:bottom w:w="95" w:type="dxa"/>
              <w:right w:w="95" w:type="dxa"/>
            </w:tcMar>
          </w:tcPr>
          <w:p>
            <w:pPr>
              <w:spacing w:after="40" w:before="40" w:line="252" w:lineRule="auto"/>
              <w:jc w:val="center"/>
            </w:pPr>
            <w:r>
              <w:rPr>
                <w:b/>
                <w:sz w:val="20"/>
              </w:rPr>
              <w:t>ID</w:t>
            </w:r>
          </w:p>
        </w:tc>
        <w:tc>
          <w:tcPr>
            <w:tcW w:type="dxa" w:w="7200"/>
            <w:vAlign w:val="center"/>
            <w:shd w:fill="E2EBF1"/>
            <w:tcMar>
              <w:top w:w="95" w:type="dxa"/>
              <w:left w:w="95" w:type="dxa"/>
              <w:bottom w:w="95" w:type="dxa"/>
              <w:right w:w="95" w:type="dxa"/>
            </w:tcMar>
          </w:tcPr>
          <w:p>
            <w:pPr>
              <w:spacing w:after="40" w:before="40" w:line="252" w:lineRule="auto"/>
            </w:pPr>
            <w:r>
              <w:rPr>
                <w:b/>
                <w:sz w:val="20"/>
              </w:rPr>
              <w:t>Display name</w:t>
            </w:r>
          </w:p>
        </w:tc>
      </w:tr>
      <w:tr>
        <w:trPr>
          <w:cantSplit/>
        </w:trPr>
        <w:tc>
          <w:tcPr>
            <w:tcW w:type="dxa" w:w="2880"/>
            <w:vAlign w:val="center"/>
            <w:shd w:fill="FFFFFF"/>
            <w:tcMar>
              <w:top w:w="95" w:type="dxa"/>
              <w:left w:w="95" w:type="dxa"/>
              <w:bottom w:w="95" w:type="dxa"/>
              <w:right w:w="95" w:type="dxa"/>
            </w:tcMar>
          </w:tcPr>
          <w:p>
            <w:pPr>
              <w:spacing w:after="40" w:before="40" w:line="252" w:lineRule="auto"/>
              <w:jc w:val="center"/>
            </w:pPr>
            <w:r>
              <w:rPr>
                <w:sz w:val="20"/>
              </w:rPr>
              <w:t>M01</w:t>
            </w:r>
          </w:p>
        </w:tc>
        <w:tc>
          <w:tcPr>
            <w:tcW w:type="dxa" w:w="7200"/>
            <w:vAlign w:val="center"/>
            <w:shd w:fill="FFFFFF"/>
            <w:tcMar>
              <w:top w:w="95" w:type="dxa"/>
              <w:left w:w="95" w:type="dxa"/>
              <w:bottom w:w="95" w:type="dxa"/>
              <w:right w:w="95" w:type="dxa"/>
            </w:tcMar>
          </w:tcPr>
          <w:p>
            <w:pPr>
              <w:spacing w:after="40" w:before="40" w:line="252" w:lineRule="auto"/>
            </w:pPr>
            <w:r>
              <w:rPr>
                <w:sz w:val="20"/>
              </w:rPr>
              <w:t>Technical Manipulation</w:t>
            </w:r>
          </w:p>
        </w:tc>
      </w:tr>
      <w:tr>
        <w:trPr>
          <w:cantSplit/>
        </w:trPr>
        <w:tc>
          <w:tcPr>
            <w:tcW w:type="dxa" w:w="2880"/>
            <w:vAlign w:val="center"/>
            <w:shd w:fill="FFFFFF"/>
            <w:tcMar>
              <w:top w:w="95" w:type="dxa"/>
              <w:left w:w="95" w:type="dxa"/>
              <w:bottom w:w="95" w:type="dxa"/>
              <w:right w:w="95" w:type="dxa"/>
            </w:tcMar>
          </w:tcPr>
          <w:p>
            <w:pPr>
              <w:spacing w:after="40" w:before="40" w:line="252" w:lineRule="auto"/>
              <w:jc w:val="center"/>
            </w:pPr>
            <w:r>
              <w:rPr>
                <w:sz w:val="20"/>
              </w:rPr>
              <w:t>M02</w:t>
            </w:r>
          </w:p>
        </w:tc>
        <w:tc>
          <w:tcPr>
            <w:tcW w:type="dxa" w:w="7200"/>
            <w:vAlign w:val="center"/>
            <w:shd w:fill="FFFFFF"/>
            <w:tcMar>
              <w:top w:w="95" w:type="dxa"/>
              <w:left w:w="95" w:type="dxa"/>
              <w:bottom w:w="95" w:type="dxa"/>
              <w:right w:w="95" w:type="dxa"/>
            </w:tcMar>
          </w:tcPr>
          <w:p>
            <w:pPr>
              <w:spacing w:after="40" w:before="40" w:line="252" w:lineRule="auto"/>
            </w:pPr>
            <w:r>
              <w:rPr>
                <w:sz w:val="20"/>
              </w:rPr>
              <w:t>Data Manipulation</w:t>
            </w:r>
          </w:p>
        </w:tc>
      </w:tr>
      <w:tr>
        <w:trPr>
          <w:cantSplit/>
        </w:trPr>
        <w:tc>
          <w:tcPr>
            <w:tcW w:type="dxa" w:w="2880"/>
            <w:vAlign w:val="center"/>
            <w:shd w:fill="FFFFFF"/>
            <w:tcMar>
              <w:top w:w="95" w:type="dxa"/>
              <w:left w:w="95" w:type="dxa"/>
              <w:bottom w:w="95" w:type="dxa"/>
              <w:right w:w="95" w:type="dxa"/>
            </w:tcMar>
          </w:tcPr>
          <w:p>
            <w:pPr>
              <w:spacing w:after="40" w:before="40" w:line="252" w:lineRule="auto"/>
              <w:jc w:val="center"/>
            </w:pPr>
            <w:r>
              <w:rPr>
                <w:sz w:val="20"/>
              </w:rPr>
              <w:t>M03</w:t>
            </w:r>
          </w:p>
        </w:tc>
        <w:tc>
          <w:tcPr>
            <w:tcW w:type="dxa" w:w="7200"/>
            <w:vAlign w:val="center"/>
            <w:shd w:fill="FFFFFF"/>
            <w:tcMar>
              <w:top w:w="95" w:type="dxa"/>
              <w:left w:w="95" w:type="dxa"/>
              <w:bottom w:w="95" w:type="dxa"/>
              <w:right w:w="95" w:type="dxa"/>
            </w:tcMar>
          </w:tcPr>
          <w:p>
            <w:pPr>
              <w:spacing w:after="40" w:before="40" w:line="252" w:lineRule="auto"/>
            </w:pPr>
            <w:r>
              <w:rPr>
                <w:sz w:val="20"/>
              </w:rPr>
              <w:t>Environmental Manipulation</w:t>
            </w:r>
          </w:p>
        </w:tc>
      </w:tr>
      <w:tr>
        <w:trPr>
          <w:cantSplit/>
        </w:trPr>
        <w:tc>
          <w:tcPr>
            <w:tcW w:type="dxa" w:w="2880"/>
            <w:vAlign w:val="center"/>
            <w:shd w:fill="FFFFFF"/>
            <w:tcMar>
              <w:top w:w="95" w:type="dxa"/>
              <w:left w:w="95" w:type="dxa"/>
              <w:bottom w:w="95" w:type="dxa"/>
              <w:right w:w="95" w:type="dxa"/>
            </w:tcMar>
          </w:tcPr>
          <w:p>
            <w:pPr>
              <w:spacing w:after="40" w:before="40" w:line="252" w:lineRule="auto"/>
              <w:jc w:val="center"/>
            </w:pPr>
            <w:r>
              <w:rPr>
                <w:sz w:val="20"/>
              </w:rPr>
              <w:t>M04</w:t>
            </w:r>
          </w:p>
        </w:tc>
        <w:tc>
          <w:tcPr>
            <w:tcW w:type="dxa" w:w="7200"/>
            <w:vAlign w:val="center"/>
            <w:shd w:fill="FFFFFF"/>
            <w:tcMar>
              <w:top w:w="95" w:type="dxa"/>
              <w:left w:w="95" w:type="dxa"/>
              <w:bottom w:w="95" w:type="dxa"/>
              <w:right w:w="95" w:type="dxa"/>
            </w:tcMar>
          </w:tcPr>
          <w:p>
            <w:pPr>
              <w:spacing w:after="40" w:before="40" w:line="252" w:lineRule="auto"/>
            </w:pPr>
            <w:r>
              <w:rPr>
                <w:sz w:val="20"/>
              </w:rPr>
              <w:t>Perception Manipulation</w:t>
            </w:r>
          </w:p>
        </w:tc>
      </w:tr>
      <w:tr>
        <w:trPr>
          <w:cantSplit/>
        </w:trPr>
        <w:tc>
          <w:tcPr>
            <w:tcW w:type="dxa" w:w="2880"/>
            <w:vAlign w:val="center"/>
            <w:shd w:fill="FFFFFF"/>
            <w:tcMar>
              <w:top w:w="95" w:type="dxa"/>
              <w:left w:w="95" w:type="dxa"/>
              <w:bottom w:w="95" w:type="dxa"/>
              <w:right w:w="95" w:type="dxa"/>
            </w:tcMar>
          </w:tcPr>
          <w:p>
            <w:pPr>
              <w:spacing w:after="40" w:before="40" w:line="252" w:lineRule="auto"/>
              <w:jc w:val="center"/>
            </w:pPr>
            <w:r>
              <w:rPr>
                <w:sz w:val="20"/>
              </w:rPr>
              <w:t>M05</w:t>
            </w:r>
          </w:p>
        </w:tc>
        <w:tc>
          <w:tcPr>
            <w:tcW w:type="dxa" w:w="7200"/>
            <w:vAlign w:val="center"/>
            <w:shd w:fill="FFFFFF"/>
            <w:tcMar>
              <w:top w:w="95" w:type="dxa"/>
              <w:left w:w="95" w:type="dxa"/>
              <w:bottom w:w="95" w:type="dxa"/>
              <w:right w:w="95" w:type="dxa"/>
            </w:tcMar>
          </w:tcPr>
          <w:p>
            <w:pPr>
              <w:spacing w:after="40" w:before="40" w:line="252" w:lineRule="auto"/>
            </w:pPr>
            <w:r>
              <w:rPr>
                <w:sz w:val="20"/>
              </w:rPr>
              <w:t>Semantic Manipulation</w:t>
            </w:r>
          </w:p>
        </w:tc>
      </w:tr>
      <w:tr>
        <w:trPr>
          <w:cantSplit/>
        </w:trPr>
        <w:tc>
          <w:tcPr>
            <w:tcW w:type="dxa" w:w="2880"/>
            <w:vAlign w:val="center"/>
            <w:shd w:fill="FFFFFF"/>
            <w:tcMar>
              <w:top w:w="95" w:type="dxa"/>
              <w:left w:w="95" w:type="dxa"/>
              <w:bottom w:w="95" w:type="dxa"/>
              <w:right w:w="95" w:type="dxa"/>
            </w:tcMar>
          </w:tcPr>
          <w:p>
            <w:pPr>
              <w:spacing w:after="40" w:before="40" w:line="252" w:lineRule="auto"/>
              <w:jc w:val="center"/>
            </w:pPr>
            <w:r>
              <w:rPr>
                <w:sz w:val="20"/>
              </w:rPr>
              <w:t>M06</w:t>
            </w:r>
          </w:p>
        </w:tc>
        <w:tc>
          <w:tcPr>
            <w:tcW w:type="dxa" w:w="7200"/>
            <w:vAlign w:val="center"/>
            <w:shd w:fill="FFFFFF"/>
            <w:tcMar>
              <w:top w:w="95" w:type="dxa"/>
              <w:left w:w="95" w:type="dxa"/>
              <w:bottom w:w="95" w:type="dxa"/>
              <w:right w:w="95" w:type="dxa"/>
            </w:tcMar>
          </w:tcPr>
          <w:p>
            <w:pPr>
              <w:spacing w:after="40" w:before="40" w:line="252" w:lineRule="auto"/>
            </w:pPr>
            <w:r>
              <w:rPr>
                <w:sz w:val="20"/>
              </w:rPr>
              <w:t>Contextual Manipulation</w:t>
            </w:r>
          </w:p>
        </w:tc>
      </w:tr>
      <w:tr>
        <w:trPr>
          <w:cantSplit/>
        </w:trPr>
        <w:tc>
          <w:tcPr>
            <w:tcW w:type="dxa" w:w="2880"/>
            <w:vAlign w:val="center"/>
            <w:shd w:fill="FFFFFF"/>
            <w:tcMar>
              <w:top w:w="95" w:type="dxa"/>
              <w:left w:w="95" w:type="dxa"/>
              <w:bottom w:w="95" w:type="dxa"/>
              <w:right w:w="95" w:type="dxa"/>
            </w:tcMar>
          </w:tcPr>
          <w:p>
            <w:pPr>
              <w:spacing w:after="40" w:before="40" w:line="252" w:lineRule="auto"/>
              <w:jc w:val="center"/>
            </w:pPr>
            <w:r>
              <w:rPr>
                <w:sz w:val="20"/>
              </w:rPr>
              <w:t>M07</w:t>
            </w:r>
          </w:p>
        </w:tc>
        <w:tc>
          <w:tcPr>
            <w:tcW w:type="dxa" w:w="7200"/>
            <w:vAlign w:val="center"/>
            <w:shd w:fill="FFFFFF"/>
            <w:tcMar>
              <w:top w:w="95" w:type="dxa"/>
              <w:left w:w="95" w:type="dxa"/>
              <w:bottom w:w="95" w:type="dxa"/>
              <w:right w:w="95" w:type="dxa"/>
            </w:tcMar>
          </w:tcPr>
          <w:p>
            <w:pPr>
              <w:spacing w:after="40" w:before="40" w:line="252" w:lineRule="auto"/>
            </w:pPr>
            <w:r>
              <w:rPr>
                <w:sz w:val="20"/>
              </w:rPr>
              <w:t>Behavioral Manipulation</w:t>
            </w:r>
          </w:p>
        </w:tc>
      </w:tr>
      <w:tr>
        <w:trPr>
          <w:cantSplit/>
        </w:trPr>
        <w:tc>
          <w:tcPr>
            <w:tcW w:type="dxa" w:w="2880"/>
            <w:vAlign w:val="center"/>
            <w:shd w:fill="FFFFFF"/>
            <w:tcMar>
              <w:top w:w="95" w:type="dxa"/>
              <w:left w:w="95" w:type="dxa"/>
              <w:bottom w:w="95" w:type="dxa"/>
              <w:right w:w="95" w:type="dxa"/>
            </w:tcMar>
          </w:tcPr>
          <w:p>
            <w:pPr>
              <w:spacing w:after="40" w:before="40" w:line="252" w:lineRule="auto"/>
              <w:jc w:val="center"/>
            </w:pPr>
            <w:r>
              <w:rPr>
                <w:sz w:val="20"/>
              </w:rPr>
              <w:t>M08</w:t>
            </w:r>
          </w:p>
        </w:tc>
        <w:tc>
          <w:tcPr>
            <w:tcW w:type="dxa" w:w="7200"/>
            <w:vAlign w:val="center"/>
            <w:shd w:fill="FFFFFF"/>
            <w:tcMar>
              <w:top w:w="95" w:type="dxa"/>
              <w:left w:w="95" w:type="dxa"/>
              <w:bottom w:w="95" w:type="dxa"/>
              <w:right w:w="95" w:type="dxa"/>
            </w:tcMar>
          </w:tcPr>
          <w:p>
            <w:pPr>
              <w:spacing w:after="40" w:before="40" w:line="252" w:lineRule="auto"/>
            </w:pPr>
            <w:r>
              <w:rPr>
                <w:sz w:val="20"/>
              </w:rPr>
              <w:t>Memory Manipulation</w:t>
            </w:r>
          </w:p>
        </w:tc>
      </w:tr>
      <w:tr>
        <w:trPr>
          <w:cantSplit/>
        </w:trPr>
        <w:tc>
          <w:tcPr>
            <w:tcW w:type="dxa" w:w="2880"/>
            <w:vAlign w:val="center"/>
            <w:shd w:fill="FFFFFF"/>
            <w:tcMar>
              <w:top w:w="95" w:type="dxa"/>
              <w:left w:w="95" w:type="dxa"/>
              <w:bottom w:w="95" w:type="dxa"/>
              <w:right w:w="95" w:type="dxa"/>
            </w:tcMar>
          </w:tcPr>
          <w:p>
            <w:pPr>
              <w:spacing w:after="40" w:before="40" w:line="252" w:lineRule="auto"/>
              <w:jc w:val="center"/>
            </w:pPr>
            <w:r>
              <w:rPr>
                <w:sz w:val="20"/>
              </w:rPr>
              <w:t>M09</w:t>
            </w:r>
          </w:p>
        </w:tc>
        <w:tc>
          <w:tcPr>
            <w:tcW w:type="dxa" w:w="7200"/>
            <w:vAlign w:val="center"/>
            <w:shd w:fill="FFFFFF"/>
            <w:tcMar>
              <w:top w:w="95" w:type="dxa"/>
              <w:left w:w="95" w:type="dxa"/>
              <w:bottom w:w="95" w:type="dxa"/>
              <w:right w:w="95" w:type="dxa"/>
            </w:tcMar>
          </w:tcPr>
          <w:p>
            <w:pPr>
              <w:spacing w:after="40" w:before="40" w:line="252" w:lineRule="auto"/>
            </w:pPr>
            <w:r>
              <w:rPr>
                <w:sz w:val="20"/>
              </w:rPr>
              <w:t>Identity Manipulation</w:t>
            </w:r>
          </w:p>
        </w:tc>
      </w:tr>
      <w:tr>
        <w:trPr>
          <w:cantSplit/>
        </w:trPr>
        <w:tc>
          <w:tcPr>
            <w:tcW w:type="dxa" w:w="2880"/>
            <w:vAlign w:val="center"/>
            <w:shd w:fill="FFFFFF"/>
            <w:tcMar>
              <w:top w:w="95" w:type="dxa"/>
              <w:left w:w="95" w:type="dxa"/>
              <w:bottom w:w="95" w:type="dxa"/>
              <w:right w:w="95" w:type="dxa"/>
            </w:tcMar>
          </w:tcPr>
          <w:p>
            <w:pPr>
              <w:spacing w:after="40" w:before="40" w:line="252" w:lineRule="auto"/>
              <w:jc w:val="center"/>
            </w:pPr>
            <w:r>
              <w:rPr>
                <w:sz w:val="20"/>
              </w:rPr>
              <w:t>M10</w:t>
            </w:r>
          </w:p>
        </w:tc>
        <w:tc>
          <w:tcPr>
            <w:tcW w:type="dxa" w:w="7200"/>
            <w:vAlign w:val="center"/>
            <w:shd w:fill="FFFFFF"/>
            <w:tcMar>
              <w:top w:w="95" w:type="dxa"/>
              <w:left w:w="95" w:type="dxa"/>
              <w:bottom w:w="95" w:type="dxa"/>
              <w:right w:w="95" w:type="dxa"/>
            </w:tcMar>
          </w:tcPr>
          <w:p>
            <w:pPr>
              <w:spacing w:after="40" w:before="40" w:line="252" w:lineRule="auto"/>
            </w:pPr>
            <w:r>
              <w:rPr>
                <w:sz w:val="20"/>
              </w:rPr>
              <w:t>Objective Manipulation</w:t>
            </w:r>
          </w:p>
        </w:tc>
      </w:tr>
      <w:tr>
        <w:trPr>
          <w:cantSplit/>
        </w:trPr>
        <w:tc>
          <w:tcPr>
            <w:tcW w:type="dxa" w:w="2880"/>
            <w:vAlign w:val="center"/>
            <w:shd w:fill="FFFFFF"/>
            <w:tcMar>
              <w:top w:w="95" w:type="dxa"/>
              <w:left w:w="95" w:type="dxa"/>
              <w:bottom w:w="95" w:type="dxa"/>
              <w:right w:w="95" w:type="dxa"/>
            </w:tcMar>
          </w:tcPr>
          <w:p>
            <w:pPr>
              <w:spacing w:after="40" w:before="40" w:line="252" w:lineRule="auto"/>
              <w:jc w:val="center"/>
            </w:pPr>
            <w:r>
              <w:rPr>
                <w:sz w:val="20"/>
              </w:rPr>
              <w:t>M11</w:t>
            </w:r>
          </w:p>
        </w:tc>
        <w:tc>
          <w:tcPr>
            <w:tcW w:type="dxa" w:w="7200"/>
            <w:vAlign w:val="center"/>
            <w:shd w:fill="FFFFFF"/>
            <w:tcMar>
              <w:top w:w="95" w:type="dxa"/>
              <w:left w:w="95" w:type="dxa"/>
              <w:bottom w:w="95" w:type="dxa"/>
              <w:right w:w="95" w:type="dxa"/>
            </w:tcMar>
          </w:tcPr>
          <w:p>
            <w:pPr>
              <w:spacing w:after="40" w:before="40" w:line="252" w:lineRule="auto"/>
            </w:pPr>
            <w:r>
              <w:rPr>
                <w:sz w:val="20"/>
              </w:rPr>
              <w:t>Capability Manipulation</w:t>
            </w:r>
          </w:p>
        </w:tc>
      </w:tr>
      <w:tr>
        <w:trPr>
          <w:cantSplit/>
        </w:trPr>
        <w:tc>
          <w:tcPr>
            <w:tcW w:type="dxa" w:w="2880"/>
            <w:vAlign w:val="center"/>
            <w:shd w:fill="FFFFFF"/>
            <w:tcMar>
              <w:top w:w="95" w:type="dxa"/>
              <w:left w:w="95" w:type="dxa"/>
              <w:bottom w:w="95" w:type="dxa"/>
              <w:right w:w="95" w:type="dxa"/>
            </w:tcMar>
          </w:tcPr>
          <w:p>
            <w:pPr>
              <w:spacing w:after="40" w:before="40" w:line="252" w:lineRule="auto"/>
              <w:jc w:val="center"/>
            </w:pPr>
            <w:r>
              <w:rPr>
                <w:sz w:val="20"/>
              </w:rPr>
              <w:t>M12</w:t>
            </w:r>
          </w:p>
        </w:tc>
        <w:tc>
          <w:tcPr>
            <w:tcW w:type="dxa" w:w="7200"/>
            <w:vAlign w:val="center"/>
            <w:shd w:fill="FFFFFF"/>
            <w:tcMar>
              <w:top w:w="95" w:type="dxa"/>
              <w:left w:w="95" w:type="dxa"/>
              <w:bottom w:w="95" w:type="dxa"/>
              <w:right w:w="95" w:type="dxa"/>
            </w:tcMar>
          </w:tcPr>
          <w:p>
            <w:pPr>
              <w:spacing w:after="40" w:before="40" w:line="252" w:lineRule="auto"/>
            </w:pPr>
            <w:r>
              <w:rPr>
                <w:sz w:val="20"/>
              </w:rPr>
              <w:t>Human Manipulation</w:t>
            </w:r>
          </w:p>
        </w:tc>
      </w:tr>
    </w:tbl>
    <w:p>
      <w:pPr>
        <w:spacing w:after="20"/>
      </w:pPr>
    </w:p>
    <w:p>
      <w:pPr/>
      <w:r>
        <w:t>The mechanism vocabulary contains overlapping descriptors and different levels of abstraction. A mechanism must refer to an evidenced or explicitly hypothesised intervention, rather than merely restating the outcome. Mechanism absence is valid for an accidental failure. Unrepresented mechanisms are recorded in prose with an extension proposal until an identifier is allocated. M00 and other improvised codes must not masquerade as canonical entries.</w:t>
      </w:r>
    </w:p>
    <w:p>
      <w:pPr>
        <w:pStyle w:val="Heading1"/>
      </w:pPr>
      <w:r>
        <w:t>Canonical cross cutting dimensions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880"/>
        <w:gridCol w:w="7200"/>
      </w:tblGrid>
      <w:tr>
        <w:trPr>
          <w:cantSplit/>
          <w:tblHeader/>
        </w:trPr>
        <w:tc>
          <w:tcPr>
            <w:tcW w:type="dxa" w:w="2880"/>
            <w:vAlign w:val="center"/>
            <w:shd w:fill="E2EBF1"/>
            <w:tcMar>
              <w:top w:w="95" w:type="dxa"/>
              <w:left w:w="95" w:type="dxa"/>
              <w:bottom w:w="95" w:type="dxa"/>
              <w:right w:w="95" w:type="dxa"/>
            </w:tcMar>
          </w:tcPr>
          <w:p>
            <w:pPr>
              <w:spacing w:after="40" w:before="40" w:line="252" w:lineRule="auto"/>
              <w:jc w:val="center"/>
            </w:pPr>
            <w:r>
              <w:rPr>
                <w:b/>
                <w:sz w:val="20"/>
              </w:rPr>
              <w:t>ID</w:t>
            </w:r>
          </w:p>
        </w:tc>
        <w:tc>
          <w:tcPr>
            <w:tcW w:type="dxa" w:w="7200"/>
            <w:vAlign w:val="center"/>
            <w:shd w:fill="E2EBF1"/>
            <w:tcMar>
              <w:top w:w="95" w:type="dxa"/>
              <w:left w:w="95" w:type="dxa"/>
              <w:bottom w:w="95" w:type="dxa"/>
              <w:right w:w="95" w:type="dxa"/>
            </w:tcMar>
          </w:tcPr>
          <w:p>
            <w:pPr>
              <w:spacing w:after="40" w:before="40" w:line="252" w:lineRule="auto"/>
            </w:pPr>
            <w:r>
              <w:rPr>
                <w:b/>
                <w:sz w:val="20"/>
              </w:rPr>
              <w:t>Display name</w:t>
            </w:r>
          </w:p>
        </w:tc>
      </w:tr>
      <w:tr>
        <w:trPr>
          <w:cantSplit/>
        </w:trPr>
        <w:tc>
          <w:tcPr>
            <w:tcW w:type="dxa" w:w="2880"/>
            <w:vAlign w:val="center"/>
            <w:shd w:fill="FFFFFF"/>
            <w:tcMar>
              <w:top w:w="95" w:type="dxa"/>
              <w:left w:w="95" w:type="dxa"/>
              <w:bottom w:w="95" w:type="dxa"/>
              <w:right w:w="95" w:type="dxa"/>
            </w:tcMar>
          </w:tcPr>
          <w:p>
            <w:pPr>
              <w:spacing w:after="40" w:before="40" w:line="252" w:lineRule="auto"/>
              <w:jc w:val="center"/>
            </w:pPr>
            <w:r>
              <w:rPr>
                <w:sz w:val="20"/>
              </w:rPr>
              <w:t>D1</w:t>
            </w:r>
          </w:p>
        </w:tc>
        <w:tc>
          <w:tcPr>
            <w:tcW w:type="dxa" w:w="7200"/>
            <w:vAlign w:val="center"/>
            <w:shd w:fill="FFFFFF"/>
            <w:tcMar>
              <w:top w:w="95" w:type="dxa"/>
              <w:left w:w="95" w:type="dxa"/>
              <w:bottom w:w="95" w:type="dxa"/>
              <w:right w:w="95" w:type="dxa"/>
            </w:tcMar>
          </w:tcPr>
          <w:p>
            <w:pPr>
              <w:spacing w:after="40" w:before="40" w:line="252" w:lineRule="auto"/>
            </w:pPr>
            <w:r>
              <w:rPr>
                <w:sz w:val="20"/>
              </w:rPr>
              <w:t>Identity, Trust &amp; Authorization</w:t>
            </w:r>
          </w:p>
        </w:tc>
      </w:tr>
      <w:tr>
        <w:trPr>
          <w:cantSplit/>
        </w:trPr>
        <w:tc>
          <w:tcPr>
            <w:tcW w:type="dxa" w:w="2880"/>
            <w:vAlign w:val="center"/>
            <w:shd w:fill="FFFFFF"/>
            <w:tcMar>
              <w:top w:w="95" w:type="dxa"/>
              <w:left w:w="95" w:type="dxa"/>
              <w:bottom w:w="95" w:type="dxa"/>
              <w:right w:w="95" w:type="dxa"/>
            </w:tcMar>
          </w:tcPr>
          <w:p>
            <w:pPr>
              <w:spacing w:after="40" w:before="40" w:line="252" w:lineRule="auto"/>
              <w:jc w:val="center"/>
            </w:pPr>
            <w:r>
              <w:rPr>
                <w:sz w:val="20"/>
              </w:rPr>
              <w:t>D2</w:t>
            </w:r>
          </w:p>
        </w:tc>
        <w:tc>
          <w:tcPr>
            <w:tcW w:type="dxa" w:w="7200"/>
            <w:vAlign w:val="center"/>
            <w:shd w:fill="FFFFFF"/>
            <w:tcMar>
              <w:top w:w="95" w:type="dxa"/>
              <w:left w:w="95" w:type="dxa"/>
              <w:bottom w:w="95" w:type="dxa"/>
              <w:right w:w="95" w:type="dxa"/>
            </w:tcMar>
          </w:tcPr>
          <w:p>
            <w:pPr>
              <w:spacing w:after="40" w:before="40" w:line="252" w:lineRule="auto"/>
            </w:pPr>
            <w:r>
              <w:rPr>
                <w:sz w:val="20"/>
              </w:rPr>
              <w:t>Governance &amp; Accountability</w:t>
            </w:r>
          </w:p>
        </w:tc>
      </w:tr>
      <w:tr>
        <w:trPr>
          <w:cantSplit/>
        </w:trPr>
        <w:tc>
          <w:tcPr>
            <w:tcW w:type="dxa" w:w="2880"/>
            <w:vAlign w:val="center"/>
            <w:shd w:fill="FFFFFF"/>
            <w:tcMar>
              <w:top w:w="95" w:type="dxa"/>
              <w:left w:w="95" w:type="dxa"/>
              <w:bottom w:w="95" w:type="dxa"/>
              <w:right w:w="95" w:type="dxa"/>
            </w:tcMar>
          </w:tcPr>
          <w:p>
            <w:pPr>
              <w:spacing w:after="40" w:before="40" w:line="252" w:lineRule="auto"/>
              <w:jc w:val="center"/>
            </w:pPr>
            <w:r>
              <w:rPr>
                <w:sz w:val="20"/>
              </w:rPr>
              <w:t>D3</w:t>
            </w:r>
          </w:p>
        </w:tc>
        <w:tc>
          <w:tcPr>
            <w:tcW w:type="dxa" w:w="7200"/>
            <w:vAlign w:val="center"/>
            <w:shd w:fill="FFFFFF"/>
            <w:tcMar>
              <w:top w:w="95" w:type="dxa"/>
              <w:left w:w="95" w:type="dxa"/>
              <w:bottom w:w="95" w:type="dxa"/>
              <w:right w:w="95" w:type="dxa"/>
            </w:tcMar>
          </w:tcPr>
          <w:p>
            <w:pPr>
              <w:spacing w:after="40" w:before="40" w:line="252" w:lineRule="auto"/>
            </w:pPr>
            <w:r>
              <w:rPr>
                <w:sz w:val="20"/>
              </w:rPr>
              <w:t>Supply Chain &amp; Provenance</w:t>
            </w:r>
          </w:p>
        </w:tc>
      </w:tr>
      <w:tr>
        <w:trPr>
          <w:cantSplit/>
        </w:trPr>
        <w:tc>
          <w:tcPr>
            <w:tcW w:type="dxa" w:w="2880"/>
            <w:vAlign w:val="center"/>
            <w:shd w:fill="FFFFFF"/>
            <w:tcMar>
              <w:top w:w="95" w:type="dxa"/>
              <w:left w:w="95" w:type="dxa"/>
              <w:bottom w:w="95" w:type="dxa"/>
              <w:right w:w="95" w:type="dxa"/>
            </w:tcMar>
          </w:tcPr>
          <w:p>
            <w:pPr>
              <w:spacing w:after="40" w:before="40" w:line="252" w:lineRule="auto"/>
              <w:jc w:val="center"/>
            </w:pPr>
            <w:r>
              <w:rPr>
                <w:sz w:val="20"/>
              </w:rPr>
              <w:t>D4</w:t>
            </w:r>
          </w:p>
        </w:tc>
        <w:tc>
          <w:tcPr>
            <w:tcW w:type="dxa" w:w="7200"/>
            <w:vAlign w:val="center"/>
            <w:shd w:fill="FFFFFF"/>
            <w:tcMar>
              <w:top w:w="95" w:type="dxa"/>
              <w:left w:w="95" w:type="dxa"/>
              <w:bottom w:w="95" w:type="dxa"/>
              <w:right w:w="95" w:type="dxa"/>
            </w:tcMar>
          </w:tcPr>
          <w:p>
            <w:pPr>
              <w:spacing w:after="40" w:before="40" w:line="252" w:lineRule="auto"/>
            </w:pPr>
            <w:r>
              <w:rPr>
                <w:sz w:val="20"/>
              </w:rPr>
              <w:t>Privacy &amp; Safety</w:t>
            </w:r>
          </w:p>
        </w:tc>
      </w:tr>
      <w:tr>
        <w:trPr>
          <w:cantSplit/>
        </w:trPr>
        <w:tc>
          <w:tcPr>
            <w:tcW w:type="dxa" w:w="2880"/>
            <w:vAlign w:val="center"/>
            <w:shd w:fill="FFFFFF"/>
            <w:tcMar>
              <w:top w:w="95" w:type="dxa"/>
              <w:left w:w="95" w:type="dxa"/>
              <w:bottom w:w="95" w:type="dxa"/>
              <w:right w:w="95" w:type="dxa"/>
            </w:tcMar>
          </w:tcPr>
          <w:p>
            <w:pPr>
              <w:spacing w:after="40" w:before="40" w:line="252" w:lineRule="auto"/>
              <w:jc w:val="center"/>
            </w:pPr>
            <w:r>
              <w:rPr>
                <w:sz w:val="20"/>
              </w:rPr>
              <w:t>D5</w:t>
            </w:r>
          </w:p>
        </w:tc>
        <w:tc>
          <w:tcPr>
            <w:tcW w:type="dxa" w:w="7200"/>
            <w:vAlign w:val="center"/>
            <w:shd w:fill="FFFFFF"/>
            <w:tcMar>
              <w:top w:w="95" w:type="dxa"/>
              <w:left w:w="95" w:type="dxa"/>
              <w:bottom w:w="95" w:type="dxa"/>
              <w:right w:w="95" w:type="dxa"/>
            </w:tcMar>
          </w:tcPr>
          <w:p>
            <w:pPr>
              <w:spacing w:after="40" w:before="40" w:line="252" w:lineRule="auto"/>
            </w:pPr>
            <w:r>
              <w:rPr>
                <w:sz w:val="20"/>
              </w:rPr>
              <w:t>Lifecycle &amp; Change Management</w:t>
            </w:r>
          </w:p>
        </w:tc>
      </w:tr>
      <w:tr>
        <w:trPr>
          <w:cantSplit/>
        </w:trPr>
        <w:tc>
          <w:tcPr>
            <w:tcW w:type="dxa" w:w="2880"/>
            <w:vAlign w:val="center"/>
            <w:shd w:fill="FFFFFF"/>
            <w:tcMar>
              <w:top w:w="95" w:type="dxa"/>
              <w:left w:w="95" w:type="dxa"/>
              <w:bottom w:w="95" w:type="dxa"/>
              <w:right w:w="95" w:type="dxa"/>
            </w:tcMar>
          </w:tcPr>
          <w:p>
            <w:pPr>
              <w:spacing w:after="40" w:before="40" w:line="252" w:lineRule="auto"/>
              <w:jc w:val="center"/>
            </w:pPr>
            <w:r>
              <w:rPr>
                <w:sz w:val="20"/>
              </w:rPr>
              <w:t>D6</w:t>
            </w:r>
          </w:p>
        </w:tc>
        <w:tc>
          <w:tcPr>
            <w:tcW w:type="dxa" w:w="7200"/>
            <w:vAlign w:val="center"/>
            <w:shd w:fill="FFFFFF"/>
            <w:tcMar>
              <w:top w:w="95" w:type="dxa"/>
              <w:left w:w="95" w:type="dxa"/>
              <w:bottom w:w="95" w:type="dxa"/>
              <w:right w:w="95" w:type="dxa"/>
            </w:tcMar>
          </w:tcPr>
          <w:p>
            <w:pPr>
              <w:spacing w:after="40" w:before="40" w:line="252" w:lineRule="auto"/>
            </w:pPr>
            <w:r>
              <w:rPr>
                <w:sz w:val="20"/>
              </w:rPr>
              <w:t>Observability, Logging &amp; Auditability</w:t>
            </w:r>
          </w:p>
        </w:tc>
      </w:tr>
      <w:tr>
        <w:trPr>
          <w:cantSplit/>
        </w:trPr>
        <w:tc>
          <w:tcPr>
            <w:tcW w:type="dxa" w:w="2880"/>
            <w:vAlign w:val="center"/>
            <w:shd w:fill="FFFFFF"/>
            <w:tcMar>
              <w:top w:w="95" w:type="dxa"/>
              <w:left w:w="95" w:type="dxa"/>
              <w:bottom w:w="95" w:type="dxa"/>
              <w:right w:w="95" w:type="dxa"/>
            </w:tcMar>
          </w:tcPr>
          <w:p>
            <w:pPr>
              <w:spacing w:after="40" w:before="40" w:line="252" w:lineRule="auto"/>
              <w:jc w:val="center"/>
            </w:pPr>
            <w:r>
              <w:rPr>
                <w:sz w:val="20"/>
              </w:rPr>
              <w:t>D7</w:t>
            </w:r>
          </w:p>
        </w:tc>
        <w:tc>
          <w:tcPr>
            <w:tcW w:type="dxa" w:w="7200"/>
            <w:vAlign w:val="center"/>
            <w:shd w:fill="FFFFFF"/>
            <w:tcMar>
              <w:top w:w="95" w:type="dxa"/>
              <w:left w:w="95" w:type="dxa"/>
              <w:bottom w:w="95" w:type="dxa"/>
              <w:right w:w="95" w:type="dxa"/>
            </w:tcMar>
          </w:tcPr>
          <w:p>
            <w:pPr>
              <w:spacing w:after="40" w:before="40" w:line="252" w:lineRule="auto"/>
            </w:pPr>
            <w:r>
              <w:rPr>
                <w:sz w:val="20"/>
              </w:rPr>
              <w:t>Resilience &amp; Recovery</w:t>
            </w:r>
          </w:p>
        </w:tc>
      </w:tr>
    </w:tbl>
    <w:p>
      <w:pPr>
        <w:spacing w:after="20"/>
      </w:pPr>
    </w:p>
    <w:p>
      <w:pPr/>
      <w:r>
        <w:t>D identifiers are reserved for these dimensions. They must not label an alternative nine-domain diagram. A dimension is a review perspective that can apply across many domains and properties, not a requirement to assign another violation whenever it is relevant.</w:t>
      </w:r>
    </w:p>
    <w:p>
      <w:pPr>
        <w:pStyle w:val="Heading1"/>
      </w:pPr>
      <w:r>
        <w:t>Migration from the baseline layer model</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656"/>
        <w:gridCol w:w="2520"/>
        <w:gridCol w:w="5904"/>
      </w:tblGrid>
      <w:tr>
        <w:trPr>
          <w:cantSplit/>
          <w:tblHeader/>
        </w:trPr>
        <w:tc>
          <w:tcPr>
            <w:tcW w:type="dxa" w:w="1656"/>
            <w:vAlign w:val="center"/>
            <w:shd w:fill="E2EBF1"/>
            <w:tcMar>
              <w:top w:w="95" w:type="dxa"/>
              <w:left w:w="95" w:type="dxa"/>
              <w:bottom w:w="95" w:type="dxa"/>
              <w:right w:w="95" w:type="dxa"/>
            </w:tcMar>
          </w:tcPr>
          <w:p>
            <w:pPr>
              <w:spacing w:after="40" w:before="40" w:line="252" w:lineRule="auto"/>
              <w:jc w:val="center"/>
            </w:pPr>
            <w:r>
              <w:rPr>
                <w:b/>
                <w:sz w:val="20"/>
              </w:rPr>
              <w:t>ID</w:t>
            </w:r>
          </w:p>
        </w:tc>
        <w:tc>
          <w:tcPr>
            <w:tcW w:type="dxa" w:w="2520"/>
            <w:vAlign w:val="center"/>
            <w:shd w:fill="E2EBF1"/>
            <w:tcMar>
              <w:top w:w="95" w:type="dxa"/>
              <w:left w:w="95" w:type="dxa"/>
              <w:bottom w:w="95" w:type="dxa"/>
              <w:right w:w="95" w:type="dxa"/>
            </w:tcMar>
          </w:tcPr>
          <w:p>
            <w:pPr>
              <w:spacing w:after="40" w:before="40" w:line="252" w:lineRule="auto"/>
            </w:pPr>
            <w:r>
              <w:rPr>
                <w:b/>
                <w:sz w:val="20"/>
              </w:rPr>
              <w:t>Baseline name</w:t>
            </w:r>
          </w:p>
        </w:tc>
        <w:tc>
          <w:tcPr>
            <w:tcW w:type="dxa" w:w="5904"/>
            <w:vAlign w:val="center"/>
            <w:shd w:fill="E2EBF1"/>
            <w:tcMar>
              <w:top w:w="95" w:type="dxa"/>
              <w:left w:w="95" w:type="dxa"/>
              <w:bottom w:w="95" w:type="dxa"/>
              <w:right w:w="95" w:type="dxa"/>
            </w:tcMar>
          </w:tcPr>
          <w:p>
            <w:pPr>
              <w:spacing w:after="40" w:before="40" w:line="252" w:lineRule="auto"/>
            </w:pPr>
            <w:r>
              <w:rPr>
                <w:b/>
                <w:sz w:val="20"/>
              </w:rPr>
              <w:t>Required reclassification check</w:t>
            </w:r>
          </w:p>
        </w:tc>
      </w:tr>
      <w:tr>
        <w:trPr>
          <w:cantSplit/>
        </w:trPr>
        <w:tc>
          <w:tcPr>
            <w:tcW w:type="dxa" w:w="1656"/>
            <w:vAlign w:val="center"/>
            <w:shd w:fill="FFFFFF"/>
            <w:tcMar>
              <w:top w:w="95" w:type="dxa"/>
              <w:left w:w="95" w:type="dxa"/>
              <w:bottom w:w="95" w:type="dxa"/>
              <w:right w:w="95" w:type="dxa"/>
            </w:tcMar>
          </w:tcPr>
          <w:p>
            <w:pPr>
              <w:spacing w:after="40" w:before="40" w:line="252" w:lineRule="auto"/>
              <w:jc w:val="center"/>
            </w:pPr>
            <w:r>
              <w:rPr>
                <w:sz w:val="20"/>
              </w:rPr>
              <w:t>L1</w:t>
            </w:r>
          </w:p>
        </w:tc>
        <w:tc>
          <w:tcPr>
            <w:tcW w:type="dxa" w:w="2520"/>
            <w:vAlign w:val="center"/>
            <w:shd w:fill="FFFFFF"/>
            <w:tcMar>
              <w:top w:w="95" w:type="dxa"/>
              <w:left w:w="95" w:type="dxa"/>
              <w:bottom w:w="95" w:type="dxa"/>
              <w:right w:w="95" w:type="dxa"/>
            </w:tcMar>
          </w:tcPr>
          <w:p>
            <w:pPr>
              <w:spacing w:after="40" w:before="40" w:line="252" w:lineRule="auto"/>
            </w:pPr>
            <w:r>
              <w:rPr>
                <w:sz w:val="20"/>
              </w:rPr>
              <w:t>Model &amp; Computational Foundation</w:t>
            </w:r>
          </w:p>
        </w:tc>
        <w:tc>
          <w:tcPr>
            <w:tcW w:type="dxa" w:w="5904"/>
            <w:vAlign w:val="center"/>
            <w:shd w:fill="FFFFFF"/>
            <w:tcMar>
              <w:top w:w="95" w:type="dxa"/>
              <w:left w:w="95" w:type="dxa"/>
              <w:bottom w:w="95" w:type="dxa"/>
              <w:right w:w="95" w:type="dxa"/>
            </w:tcMar>
          </w:tcPr>
          <w:p>
            <w:pPr>
              <w:spacing w:after="40" w:before="40" w:line="252" w:lineRule="auto"/>
            </w:pPr>
            <w:r>
              <w:rPr>
                <w:sz w:val="20"/>
              </w:rPr>
              <w:t>Distinguish model artifacts and computation from hosting software and runtime implementation in L2</w:t>
            </w:r>
          </w:p>
        </w:tc>
      </w:tr>
      <w:tr>
        <w:trPr>
          <w:cantSplit/>
        </w:trPr>
        <w:tc>
          <w:tcPr>
            <w:tcW w:type="dxa" w:w="1656"/>
            <w:vAlign w:val="center"/>
            <w:shd w:fill="FFFFFF"/>
            <w:tcMar>
              <w:top w:w="95" w:type="dxa"/>
              <w:left w:w="95" w:type="dxa"/>
              <w:bottom w:w="95" w:type="dxa"/>
              <w:right w:w="95" w:type="dxa"/>
            </w:tcMar>
          </w:tcPr>
          <w:p>
            <w:pPr>
              <w:spacing w:after="40" w:before="40" w:line="252" w:lineRule="auto"/>
              <w:jc w:val="center"/>
            </w:pPr>
            <w:r>
              <w:rPr>
                <w:sz w:val="20"/>
              </w:rPr>
              <w:t>L2</w:t>
            </w:r>
          </w:p>
        </w:tc>
        <w:tc>
          <w:tcPr>
            <w:tcW w:type="dxa" w:w="2520"/>
            <w:vAlign w:val="center"/>
            <w:shd w:fill="FFFFFF"/>
            <w:tcMar>
              <w:top w:w="95" w:type="dxa"/>
              <w:left w:w="95" w:type="dxa"/>
              <w:bottom w:w="95" w:type="dxa"/>
              <w:right w:w="95" w:type="dxa"/>
            </w:tcMar>
          </w:tcPr>
          <w:p>
            <w:pPr>
              <w:spacing w:after="40" w:before="40" w:line="252" w:lineRule="auto"/>
            </w:pPr>
            <w:r>
              <w:rPr>
                <w:sz w:val="20"/>
              </w:rPr>
              <w:t>Application &amp; Infrastructure</w:t>
            </w:r>
          </w:p>
        </w:tc>
        <w:tc>
          <w:tcPr>
            <w:tcW w:type="dxa" w:w="5904"/>
            <w:vAlign w:val="center"/>
            <w:shd w:fill="FFFFFF"/>
            <w:tcMar>
              <w:top w:w="95" w:type="dxa"/>
              <w:left w:w="95" w:type="dxa"/>
              <w:bottom w:w="95" w:type="dxa"/>
              <w:right w:w="95" w:type="dxa"/>
            </w:tcMar>
          </w:tcPr>
          <w:p>
            <w:pPr>
              <w:spacing w:after="40" w:before="40" w:line="252" w:lineRule="auto"/>
            </w:pPr>
            <w:r>
              <w:rPr>
                <w:sz w:val="20"/>
              </w:rPr>
              <w:t>Include conventional software contracts and verify the location of model execution defects</w:t>
            </w:r>
          </w:p>
        </w:tc>
      </w:tr>
      <w:tr>
        <w:trPr>
          <w:cantSplit/>
        </w:trPr>
        <w:tc>
          <w:tcPr>
            <w:tcW w:type="dxa" w:w="1656"/>
            <w:vAlign w:val="center"/>
            <w:shd w:fill="FFFFFF"/>
            <w:tcMar>
              <w:top w:w="95" w:type="dxa"/>
              <w:left w:w="95" w:type="dxa"/>
              <w:bottom w:w="95" w:type="dxa"/>
              <w:right w:w="95" w:type="dxa"/>
            </w:tcMar>
          </w:tcPr>
          <w:p>
            <w:pPr>
              <w:spacing w:after="40" w:before="40" w:line="252" w:lineRule="auto"/>
              <w:jc w:val="center"/>
            </w:pPr>
            <w:r>
              <w:rPr>
                <w:sz w:val="20"/>
              </w:rPr>
              <w:t>L3</w:t>
            </w:r>
          </w:p>
        </w:tc>
        <w:tc>
          <w:tcPr>
            <w:tcW w:type="dxa" w:w="2520"/>
            <w:vAlign w:val="center"/>
            <w:shd w:fill="FFFFFF"/>
            <w:tcMar>
              <w:top w:w="95" w:type="dxa"/>
              <w:left w:w="95" w:type="dxa"/>
              <w:bottom w:w="95" w:type="dxa"/>
              <w:right w:w="95" w:type="dxa"/>
            </w:tcMar>
          </w:tcPr>
          <w:p>
            <w:pPr>
              <w:spacing w:after="40" w:before="40" w:line="252" w:lineRule="auto"/>
            </w:pPr>
            <w:r>
              <w:rPr>
                <w:sz w:val="20"/>
              </w:rPr>
              <w:t>Data &amp; Knowledge</w:t>
            </w:r>
          </w:p>
        </w:tc>
        <w:tc>
          <w:tcPr>
            <w:tcW w:type="dxa" w:w="5904"/>
            <w:vAlign w:val="center"/>
            <w:shd w:fill="FFFFFF"/>
            <w:tcMar>
              <w:top w:w="95" w:type="dxa"/>
              <w:left w:w="95" w:type="dxa"/>
              <w:bottom w:w="95" w:type="dxa"/>
              <w:right w:w="95" w:type="dxa"/>
            </w:tcMar>
          </w:tcPr>
          <w:p>
            <w:pPr>
              <w:spacing w:after="40" w:before="40" w:line="252" w:lineRule="auto"/>
            </w:pPr>
            <w:r>
              <w:rPr>
                <w:sz w:val="20"/>
              </w:rPr>
              <w:t>Separate information resources from retained operational state and from promotion to instructional authority</w:t>
            </w:r>
          </w:p>
        </w:tc>
      </w:tr>
      <w:tr>
        <w:trPr>
          <w:cantSplit/>
        </w:trPr>
        <w:tc>
          <w:tcPr>
            <w:tcW w:type="dxa" w:w="1656"/>
            <w:vAlign w:val="center"/>
            <w:shd w:fill="FFFFFF"/>
            <w:tcMar>
              <w:top w:w="95" w:type="dxa"/>
              <w:left w:w="95" w:type="dxa"/>
              <w:bottom w:w="95" w:type="dxa"/>
              <w:right w:w="95" w:type="dxa"/>
            </w:tcMar>
          </w:tcPr>
          <w:p>
            <w:pPr>
              <w:spacing w:after="40" w:before="40" w:line="252" w:lineRule="auto"/>
              <w:jc w:val="center"/>
            </w:pPr>
            <w:r>
              <w:rPr>
                <w:sz w:val="20"/>
              </w:rPr>
              <w:t>L4</w:t>
            </w:r>
          </w:p>
        </w:tc>
        <w:tc>
          <w:tcPr>
            <w:tcW w:type="dxa" w:w="2520"/>
            <w:vAlign w:val="center"/>
            <w:shd w:fill="FFFFFF"/>
            <w:tcMar>
              <w:top w:w="95" w:type="dxa"/>
              <w:left w:w="95" w:type="dxa"/>
              <w:bottom w:w="95" w:type="dxa"/>
              <w:right w:w="95" w:type="dxa"/>
            </w:tcMar>
          </w:tcPr>
          <w:p>
            <w:pPr>
              <w:spacing w:after="40" w:before="40" w:line="252" w:lineRule="auto"/>
            </w:pPr>
            <w:r>
              <w:rPr>
                <w:sz w:val="20"/>
              </w:rPr>
              <w:t>Environment &amp; Perception</w:t>
            </w:r>
          </w:p>
        </w:tc>
        <w:tc>
          <w:tcPr>
            <w:tcW w:type="dxa" w:w="5904"/>
            <w:vAlign w:val="center"/>
            <w:shd w:fill="FFFFFF"/>
            <w:tcMar>
              <w:top w:w="95" w:type="dxa"/>
              <w:left w:w="95" w:type="dxa"/>
              <w:bottom w:w="95" w:type="dxa"/>
              <w:right w:w="95" w:type="dxa"/>
            </w:tcMar>
          </w:tcPr>
          <w:p>
            <w:pPr>
              <w:spacing w:after="40" w:before="40" w:line="252" w:lineRule="auto"/>
            </w:pPr>
            <w:r>
              <w:rPr>
                <w:sz w:val="20"/>
              </w:rPr>
              <w:t>Apply observation and world representation by function, including digital environments; text format alone does not make it inapplicable</w:t>
            </w:r>
          </w:p>
        </w:tc>
      </w:tr>
      <w:tr>
        <w:trPr>
          <w:cantSplit/>
        </w:trPr>
        <w:tc>
          <w:tcPr>
            <w:tcW w:type="dxa" w:w="1656"/>
            <w:vAlign w:val="center"/>
            <w:shd w:fill="FFFFFF"/>
            <w:tcMar>
              <w:top w:w="95" w:type="dxa"/>
              <w:left w:w="95" w:type="dxa"/>
              <w:bottom w:w="95" w:type="dxa"/>
              <w:right w:w="95" w:type="dxa"/>
            </w:tcMar>
          </w:tcPr>
          <w:p>
            <w:pPr>
              <w:spacing w:after="40" w:before="40" w:line="252" w:lineRule="auto"/>
              <w:jc w:val="center"/>
            </w:pPr>
            <w:r>
              <w:rPr>
                <w:sz w:val="20"/>
              </w:rPr>
              <w:t>L5</w:t>
            </w:r>
          </w:p>
        </w:tc>
        <w:tc>
          <w:tcPr>
            <w:tcW w:type="dxa" w:w="2520"/>
            <w:vAlign w:val="center"/>
            <w:shd w:fill="FFFFFF"/>
            <w:tcMar>
              <w:top w:w="95" w:type="dxa"/>
              <w:left w:w="95" w:type="dxa"/>
              <w:bottom w:w="95" w:type="dxa"/>
              <w:right w:w="95" w:type="dxa"/>
            </w:tcMar>
          </w:tcPr>
          <w:p>
            <w:pPr>
              <w:spacing w:after="40" w:before="40" w:line="252" w:lineRule="auto"/>
            </w:pPr>
            <w:r>
              <w:rPr>
                <w:sz w:val="20"/>
              </w:rPr>
              <w:t>Semantic &amp; Behavioral</w:t>
            </w:r>
          </w:p>
        </w:tc>
        <w:tc>
          <w:tcPr>
            <w:tcW w:type="dxa" w:w="5904"/>
            <w:vAlign w:val="center"/>
            <w:shd w:fill="FFFFFF"/>
            <w:tcMar>
              <w:top w:w="95" w:type="dxa"/>
              <w:left w:w="95" w:type="dxa"/>
              <w:bottom w:w="95" w:type="dxa"/>
              <w:right w:w="95" w:type="dxa"/>
            </w:tcMar>
          </w:tcPr>
          <w:p>
            <w:pPr>
              <w:spacing w:after="40" w:before="40" w:line="252" w:lineRule="auto"/>
            </w:pPr>
            <w:r>
              <w:rPr>
                <w:sz w:val="20"/>
              </w:rPr>
              <w:t>Reclassify broad behaviour labels by actual interpretation or objective contract, or the responsible neighbouring domain</w:t>
            </w:r>
          </w:p>
        </w:tc>
      </w:tr>
      <w:tr>
        <w:trPr>
          <w:cantSplit/>
        </w:trPr>
        <w:tc>
          <w:tcPr>
            <w:tcW w:type="dxa" w:w="1656"/>
            <w:vAlign w:val="center"/>
            <w:shd w:fill="FFFFFF"/>
            <w:tcMar>
              <w:top w:w="95" w:type="dxa"/>
              <w:left w:w="95" w:type="dxa"/>
              <w:bottom w:w="95" w:type="dxa"/>
              <w:right w:w="95" w:type="dxa"/>
            </w:tcMar>
          </w:tcPr>
          <w:p>
            <w:pPr>
              <w:spacing w:after="40" w:before="40" w:line="252" w:lineRule="auto"/>
              <w:jc w:val="center"/>
            </w:pPr>
            <w:r>
              <w:rPr>
                <w:sz w:val="20"/>
              </w:rPr>
              <w:t>L6</w:t>
            </w:r>
          </w:p>
        </w:tc>
        <w:tc>
          <w:tcPr>
            <w:tcW w:type="dxa" w:w="2520"/>
            <w:vAlign w:val="center"/>
            <w:shd w:fill="FFFFFF"/>
            <w:tcMar>
              <w:top w:w="95" w:type="dxa"/>
              <w:left w:w="95" w:type="dxa"/>
              <w:bottom w:w="95" w:type="dxa"/>
              <w:right w:w="95" w:type="dxa"/>
            </w:tcMar>
          </w:tcPr>
          <w:p>
            <w:pPr>
              <w:spacing w:after="40" w:before="40" w:line="252" w:lineRule="auto"/>
            </w:pPr>
            <w:r>
              <w:rPr>
                <w:sz w:val="20"/>
              </w:rPr>
              <w:t>Memory &amp; Persistent State</w:t>
            </w:r>
          </w:p>
        </w:tc>
        <w:tc>
          <w:tcPr>
            <w:tcW w:type="dxa" w:w="5904"/>
            <w:vAlign w:val="center"/>
            <w:shd w:fill="FFFFFF"/>
            <w:tcMar>
              <w:top w:w="95" w:type="dxa"/>
              <w:left w:w="95" w:type="dxa"/>
              <w:bottom w:w="95" w:type="dxa"/>
              <w:right w:w="95" w:type="dxa"/>
            </w:tcMar>
          </w:tcPr>
          <w:p>
            <w:pPr>
              <w:spacing w:after="40" w:before="40" w:line="252" w:lineRule="auto"/>
            </w:pPr>
            <w:r>
              <w:rPr>
                <w:sz w:val="20"/>
              </w:rPr>
              <w:t>Specify retention, ownership, association, update and temporal continuity rather than storage technology</w:t>
            </w:r>
          </w:p>
        </w:tc>
      </w:tr>
      <w:tr>
        <w:trPr>
          <w:cantSplit/>
        </w:trPr>
        <w:tc>
          <w:tcPr>
            <w:tcW w:type="dxa" w:w="1656"/>
            <w:vAlign w:val="center"/>
            <w:shd w:fill="FFFFFF"/>
            <w:tcMar>
              <w:top w:w="95" w:type="dxa"/>
              <w:left w:w="95" w:type="dxa"/>
              <w:bottom w:w="95" w:type="dxa"/>
              <w:right w:w="95" w:type="dxa"/>
            </w:tcMar>
          </w:tcPr>
          <w:p>
            <w:pPr>
              <w:spacing w:after="40" w:before="40" w:line="252" w:lineRule="auto"/>
              <w:jc w:val="center"/>
            </w:pPr>
            <w:r>
              <w:rPr>
                <w:sz w:val="20"/>
              </w:rPr>
              <w:t>L7</w:t>
            </w:r>
          </w:p>
        </w:tc>
        <w:tc>
          <w:tcPr>
            <w:tcW w:type="dxa" w:w="2520"/>
            <w:vAlign w:val="center"/>
            <w:shd w:fill="FFFFFF"/>
            <w:tcMar>
              <w:top w:w="95" w:type="dxa"/>
              <w:left w:w="95" w:type="dxa"/>
              <w:bottom w:w="95" w:type="dxa"/>
              <w:right w:w="95" w:type="dxa"/>
            </w:tcMar>
          </w:tcPr>
          <w:p>
            <w:pPr>
              <w:spacing w:after="40" w:before="40" w:line="252" w:lineRule="auto"/>
            </w:pPr>
            <w:r>
              <w:rPr>
                <w:sz w:val="20"/>
              </w:rPr>
              <w:t>Agent &amp; Action</w:t>
            </w:r>
          </w:p>
        </w:tc>
        <w:tc>
          <w:tcPr>
            <w:tcW w:type="dxa" w:w="5904"/>
            <w:vAlign w:val="center"/>
            <w:shd w:fill="FFFFFF"/>
            <w:tcMar>
              <w:top w:w="95" w:type="dxa"/>
              <w:left w:w="95" w:type="dxa"/>
              <w:bottom w:w="95" w:type="dxa"/>
              <w:right w:w="95" w:type="dxa"/>
            </w:tcMar>
          </w:tcPr>
          <w:p>
            <w:pPr>
              <w:spacing w:after="40" w:before="40" w:line="252" w:lineRule="auto"/>
            </w:pPr>
            <w:r>
              <w:rPr>
                <w:sz w:val="20"/>
              </w:rPr>
              <w:t>Include planning and physical actuation regardless of whether the system is called an agent</w:t>
            </w:r>
          </w:p>
        </w:tc>
      </w:tr>
      <w:tr>
        <w:trPr>
          <w:cantSplit/>
        </w:trPr>
        <w:tc>
          <w:tcPr>
            <w:tcW w:type="dxa" w:w="1656"/>
            <w:vAlign w:val="center"/>
            <w:shd w:fill="FFFFFF"/>
            <w:tcMar>
              <w:top w:w="95" w:type="dxa"/>
              <w:left w:w="95" w:type="dxa"/>
              <w:bottom w:w="95" w:type="dxa"/>
              <w:right w:w="95" w:type="dxa"/>
            </w:tcMar>
          </w:tcPr>
          <w:p>
            <w:pPr>
              <w:spacing w:after="40" w:before="40" w:line="252" w:lineRule="auto"/>
              <w:jc w:val="center"/>
            </w:pPr>
            <w:r>
              <w:rPr>
                <w:sz w:val="20"/>
              </w:rPr>
              <w:t>L8</w:t>
            </w:r>
          </w:p>
        </w:tc>
        <w:tc>
          <w:tcPr>
            <w:tcW w:type="dxa" w:w="2520"/>
            <w:vAlign w:val="center"/>
            <w:shd w:fill="FFFFFF"/>
            <w:tcMar>
              <w:top w:w="95" w:type="dxa"/>
              <w:left w:w="95" w:type="dxa"/>
              <w:bottom w:w="95" w:type="dxa"/>
              <w:right w:w="95" w:type="dxa"/>
            </w:tcMar>
          </w:tcPr>
          <w:p>
            <w:pPr>
              <w:spacing w:after="40" w:before="40" w:line="252" w:lineRule="auto"/>
            </w:pPr>
            <w:r>
              <w:rPr>
                <w:sz w:val="20"/>
              </w:rPr>
              <w:t>Human-AI Interaction</w:t>
            </w:r>
          </w:p>
        </w:tc>
        <w:tc>
          <w:tcPr>
            <w:tcW w:type="dxa" w:w="5904"/>
            <w:vAlign w:val="center"/>
            <w:shd w:fill="FFFFFF"/>
            <w:tcMar>
              <w:top w:w="95" w:type="dxa"/>
              <w:left w:w="95" w:type="dxa"/>
              <w:bottom w:w="95" w:type="dxa"/>
              <w:right w:w="95" w:type="dxa"/>
            </w:tcMar>
          </w:tcPr>
          <w:p>
            <w:pPr>
              <w:spacing w:after="40" w:before="40" w:line="252" w:lineRule="auto"/>
            </w:pPr>
            <w:r>
              <w:rPr>
                <w:sz w:val="20"/>
              </w:rPr>
              <w:t>Identify an interaction, understanding, authorisation or intervention contract, not merely a human consequence</w:t>
            </w:r>
          </w:p>
        </w:tc>
      </w:tr>
      <w:tr>
        <w:trPr>
          <w:cantSplit/>
        </w:trPr>
        <w:tc>
          <w:tcPr>
            <w:tcW w:type="dxa" w:w="1656"/>
            <w:vAlign w:val="center"/>
            <w:shd w:fill="FFFFFF"/>
            <w:tcMar>
              <w:top w:w="95" w:type="dxa"/>
              <w:left w:w="95" w:type="dxa"/>
              <w:bottom w:w="95" w:type="dxa"/>
              <w:right w:w="95" w:type="dxa"/>
            </w:tcMar>
          </w:tcPr>
          <w:p>
            <w:pPr>
              <w:spacing w:after="40" w:before="40" w:line="252" w:lineRule="auto"/>
              <w:jc w:val="center"/>
            </w:pPr>
            <w:r>
              <w:rPr>
                <w:sz w:val="20"/>
              </w:rPr>
              <w:t>L9</w:t>
            </w:r>
          </w:p>
        </w:tc>
        <w:tc>
          <w:tcPr>
            <w:tcW w:type="dxa" w:w="2520"/>
            <w:vAlign w:val="center"/>
            <w:shd w:fill="FFFFFF"/>
            <w:tcMar>
              <w:top w:w="95" w:type="dxa"/>
              <w:left w:w="95" w:type="dxa"/>
              <w:bottom w:w="95" w:type="dxa"/>
              <w:right w:w="95" w:type="dxa"/>
            </w:tcMar>
          </w:tcPr>
          <w:p>
            <w:pPr>
              <w:spacing w:after="40" w:before="40" w:line="252" w:lineRule="auto"/>
            </w:pPr>
            <w:r>
              <w:rPr>
                <w:sz w:val="20"/>
              </w:rPr>
              <w:t>Systemic &amp; Societal</w:t>
            </w:r>
          </w:p>
        </w:tc>
        <w:tc>
          <w:tcPr>
            <w:tcW w:type="dxa" w:w="5904"/>
            <w:vAlign w:val="center"/>
            <w:shd w:fill="FFFFFF"/>
            <w:tcMar>
              <w:top w:w="95" w:type="dxa"/>
              <w:left w:w="95" w:type="dxa"/>
              <w:bottom w:w="95" w:type="dxa"/>
              <w:right w:w="95" w:type="dxa"/>
            </w:tcMar>
          </w:tcPr>
          <w:p>
            <w:pPr>
              <w:spacing w:after="40" w:before="40" w:line="252" w:lineRule="auto"/>
            </w:pPr>
            <w:r>
              <w:rPr>
                <w:sz w:val="20"/>
              </w:rPr>
              <w:t>Require a collective interaction mechanism and contract; move broad impact alone to consequence scope</w:t>
            </w:r>
          </w:p>
        </w:tc>
      </w:tr>
    </w:tbl>
    <w:p>
      <w:pPr>
        <w:spacing w:after="20"/>
      </w:pPr>
    </w:p>
    <w:p>
      <w:pPr/>
      <w:r>
        <w:t>The underlying ordering by expanding consequence scope is withdrawn. Existing severity estimates must not be inferred from L numbers. Graph edges now have explicit types, and only actual delegation edges assert delegated authority. A group or cycle can be the locus of a collective failure. Shared components are represented once when that matches the system. A finding can retain several causal domain assignments and need not choose an artificial primary one.</w:t>
      </w:r>
    </w:p>
    <w:p>
      <w:pPr/>
      <w:r>
        <w:t>P22 and P23 retain their observation and world-representation lineage, with the revised functional scope documented in Security Properties. Cases originally excluded because they used digital observations require review. Broad P10 Behavioral Integrity labels require a concrete residual behavioral obligation not better captured by a more specific property; a temporal trajectory is required only when it forms part of that obligation. P09 Objective Integrity, P15 Planning Integrity and P18 Decision Integrity must be distinguished by the protected goal, plan and individual decision respectively. M03 and M04 retain the baseline physical emphasis; a digital perception failure does not automatically fit either mechanism. These refinements do not justify changing an old record without reading its evidence.</w:t>
      </w:r>
    </w:p>
    <w:p>
      <w:pPr>
        <w:pStyle w:val="Heading1"/>
      </w:pPr>
      <w:r>
        <w:t>Evidence descriptors and record states</w:t>
      </w:r>
    </w:p>
    <w:p>
      <w:pPr/>
      <w:r>
        <w:t>E0–E6 are descriptor codes whose labels and definitions are specified in Assessment Methodology. They retain the baseline evidence questions but no longer form a compulsory cumulative ladder. Legacy highest-level values must not be expanded automatically into supported lower facets. Reassess each facet from its underlying artifacts. Descriptor support is distinct from assessment outcome and registry review status.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656"/>
        <w:gridCol w:w="2520"/>
        <w:gridCol w:w="5904"/>
      </w:tblGrid>
      <w:tr>
        <w:trPr>
          <w:cantSplit/>
          <w:tblHeader/>
        </w:trPr>
        <w:tc>
          <w:tcPr>
            <w:tcW w:type="dxa" w:w="1656"/>
            <w:vAlign w:val="center"/>
            <w:shd w:fill="E2EBF1"/>
            <w:tcMar>
              <w:top w:w="95" w:type="dxa"/>
              <w:left w:w="95" w:type="dxa"/>
              <w:bottom w:w="95" w:type="dxa"/>
              <w:right w:w="95" w:type="dxa"/>
            </w:tcMar>
          </w:tcPr>
          <w:p>
            <w:pPr>
              <w:spacing w:after="40" w:before="40" w:line="252" w:lineRule="auto"/>
            </w:pPr>
            <w:r>
              <w:rPr>
                <w:b/>
                <w:sz w:val="20"/>
              </w:rPr>
              <w:t>Axis</w:t>
            </w:r>
          </w:p>
        </w:tc>
        <w:tc>
          <w:tcPr>
            <w:tcW w:type="dxa" w:w="2520"/>
            <w:vAlign w:val="center"/>
            <w:shd w:fill="E2EBF1"/>
            <w:tcMar>
              <w:top w:w="95" w:type="dxa"/>
              <w:left w:w="95" w:type="dxa"/>
              <w:bottom w:w="95" w:type="dxa"/>
              <w:right w:w="95" w:type="dxa"/>
            </w:tcMar>
          </w:tcPr>
          <w:p>
            <w:pPr>
              <w:spacing w:after="40" w:before="40" w:line="252" w:lineRule="auto"/>
            </w:pPr>
            <w:r>
              <w:rPr>
                <w:b/>
                <w:sz w:val="20"/>
              </w:rPr>
              <w:t>Question</w:t>
            </w:r>
          </w:p>
        </w:tc>
        <w:tc>
          <w:tcPr>
            <w:tcW w:type="dxa" w:w="5904"/>
            <w:vAlign w:val="center"/>
            <w:shd w:fill="E2EBF1"/>
            <w:tcMar>
              <w:top w:w="95" w:type="dxa"/>
              <w:left w:w="95" w:type="dxa"/>
              <w:bottom w:w="95" w:type="dxa"/>
              <w:right w:w="95" w:type="dxa"/>
            </w:tcMar>
          </w:tcPr>
          <w:p>
            <w:pPr>
              <w:spacing w:after="40" w:before="40" w:line="252" w:lineRule="auto"/>
            </w:pPr>
            <w:r>
              <w:rPr>
                <w:b/>
                <w:sz w:val="20"/>
              </w:rPr>
              <w:t>Allowed representation</w:t>
            </w:r>
          </w:p>
        </w:tc>
      </w:tr>
      <w:tr>
        <w:trPr>
          <w:cantSplit/>
        </w:trPr>
        <w:tc>
          <w:tcPr>
            <w:tcW w:type="dxa" w:w="1656"/>
            <w:vAlign w:val="center"/>
            <w:shd w:fill="FFFFFF"/>
            <w:tcMar>
              <w:top w:w="95" w:type="dxa"/>
              <w:left w:w="95" w:type="dxa"/>
              <w:bottom w:w="95" w:type="dxa"/>
              <w:right w:w="95" w:type="dxa"/>
            </w:tcMar>
          </w:tcPr>
          <w:p>
            <w:pPr>
              <w:spacing w:after="40" w:before="40" w:line="252" w:lineRule="auto"/>
            </w:pPr>
            <w:r>
              <w:rPr>
                <w:sz w:val="20"/>
              </w:rPr>
              <w:t>Contract result</w:t>
            </w:r>
          </w:p>
        </w:tc>
        <w:tc>
          <w:tcPr>
            <w:tcW w:type="dxa" w:w="2520"/>
            <w:vAlign w:val="center"/>
            <w:shd w:fill="FFFFFF"/>
            <w:tcMar>
              <w:top w:w="95" w:type="dxa"/>
              <w:left w:w="95" w:type="dxa"/>
              <w:bottom w:w="95" w:type="dxa"/>
              <w:right w:w="95" w:type="dxa"/>
            </w:tcMar>
          </w:tcPr>
          <w:p>
            <w:pPr>
              <w:spacing w:after="40" w:before="40" w:line="252" w:lineRule="auto"/>
            </w:pPr>
            <w:r>
              <w:rPr>
                <w:sz w:val="20"/>
              </w:rPr>
              <w:t>Was the specified obligation satisfied under this test</w:t>
            </w:r>
          </w:p>
        </w:tc>
        <w:tc>
          <w:tcPr>
            <w:tcW w:type="dxa" w:w="5904"/>
            <w:vAlign w:val="center"/>
            <w:shd w:fill="FFFFFF"/>
            <w:tcMar>
              <w:top w:w="95" w:type="dxa"/>
              <w:left w:w="95" w:type="dxa"/>
              <w:bottom w:w="95" w:type="dxa"/>
              <w:right w:w="95" w:type="dxa"/>
            </w:tcMar>
          </w:tcPr>
          <w:p>
            <w:pPr>
              <w:spacing w:after="40" w:before="40" w:line="252" w:lineRule="auto"/>
            </w:pPr>
            <w:r>
              <w:rPr>
                <w:sz w:val="20"/>
              </w:rPr>
              <w:t>A declared oracle with pass fail or inconclusive and observed evidence</w:t>
            </w:r>
          </w:p>
        </w:tc>
      </w:tr>
      <w:tr>
        <w:trPr>
          <w:cantSplit/>
        </w:trPr>
        <w:tc>
          <w:tcPr>
            <w:tcW w:type="dxa" w:w="1656"/>
            <w:vAlign w:val="center"/>
            <w:shd w:fill="FFFFFF"/>
            <w:tcMar>
              <w:top w:w="95" w:type="dxa"/>
              <w:left w:w="95" w:type="dxa"/>
              <w:bottom w:w="95" w:type="dxa"/>
              <w:right w:w="95" w:type="dxa"/>
            </w:tcMar>
          </w:tcPr>
          <w:p>
            <w:pPr>
              <w:spacing w:after="40" w:before="40" w:line="252" w:lineRule="auto"/>
            </w:pPr>
            <w:r>
              <w:rPr>
                <w:sz w:val="20"/>
              </w:rPr>
              <w:t>Assessment outcome</w:t>
            </w:r>
          </w:p>
        </w:tc>
        <w:tc>
          <w:tcPr>
            <w:tcW w:type="dxa" w:w="2520"/>
            <w:vAlign w:val="center"/>
            <w:shd w:fill="FFFFFF"/>
            <w:tcMar>
              <w:top w:w="95" w:type="dxa"/>
              <w:left w:w="95" w:type="dxa"/>
              <w:bottom w:w="95" w:type="dxa"/>
              <w:right w:w="95" w:type="dxa"/>
            </w:tcMar>
          </w:tcPr>
          <w:p>
            <w:pPr>
              <w:spacing w:after="40" w:before="40" w:line="252" w:lineRule="auto"/>
            </w:pPr>
            <w:r>
              <w:rPr>
                <w:sz w:val="20"/>
              </w:rPr>
              <w:t>What does the evidence establish about this claim</w:t>
            </w:r>
          </w:p>
        </w:tc>
        <w:tc>
          <w:tcPr>
            <w:tcW w:type="dxa" w:w="5904"/>
            <w:vAlign w:val="center"/>
            <w:shd w:fill="FFFFFF"/>
            <w:tcMar>
              <w:top w:w="95" w:type="dxa"/>
              <w:left w:w="95" w:type="dxa"/>
              <w:bottom w:w="95" w:type="dxa"/>
              <w:right w:w="95" w:type="dxa"/>
            </w:tcMar>
          </w:tcPr>
          <w:p>
            <w:pPr>
              <w:spacing w:after="40" w:before="40" w:line="252" w:lineRule="auto"/>
            </w:pPr>
            <w:r>
              <w:rPr>
                <w:sz w:val="20"/>
              </w:rPr>
              <w:t>supported refuted inconclusive quality_issue hazard_only or out_of_scope</w:t>
            </w:r>
          </w:p>
        </w:tc>
      </w:tr>
      <w:tr>
        <w:trPr>
          <w:cantSplit/>
        </w:trPr>
        <w:tc>
          <w:tcPr>
            <w:tcW w:type="dxa" w:w="1656"/>
            <w:vAlign w:val="center"/>
            <w:shd w:fill="FFFFFF"/>
            <w:tcMar>
              <w:top w:w="95" w:type="dxa"/>
              <w:left w:w="95" w:type="dxa"/>
              <w:bottom w:w="95" w:type="dxa"/>
              <w:right w:w="95" w:type="dxa"/>
            </w:tcMar>
          </w:tcPr>
          <w:p>
            <w:pPr>
              <w:spacing w:after="40" w:before="40" w:line="252" w:lineRule="auto"/>
            </w:pPr>
            <w:r>
              <w:rPr>
                <w:sz w:val="20"/>
              </w:rPr>
              <w:t>Evidence facet</w:t>
            </w:r>
          </w:p>
        </w:tc>
        <w:tc>
          <w:tcPr>
            <w:tcW w:type="dxa" w:w="2520"/>
            <w:vAlign w:val="center"/>
            <w:shd w:fill="FFFFFF"/>
            <w:tcMar>
              <w:top w:w="95" w:type="dxa"/>
              <w:left w:w="95" w:type="dxa"/>
              <w:bottom w:w="95" w:type="dxa"/>
              <w:right w:w="95" w:type="dxa"/>
            </w:tcMar>
          </w:tcPr>
          <w:p>
            <w:pPr>
              <w:spacing w:after="40" w:before="40" w:line="252" w:lineRule="auto"/>
            </w:pPr>
            <w:r>
              <w:rPr>
                <w:sz w:val="20"/>
              </w:rPr>
              <w:t>What type of support exists and within what scope</w:t>
            </w:r>
          </w:p>
        </w:tc>
        <w:tc>
          <w:tcPr>
            <w:tcW w:type="dxa" w:w="5904"/>
            <w:vAlign w:val="center"/>
            <w:shd w:fill="FFFFFF"/>
            <w:tcMar>
              <w:top w:w="95" w:type="dxa"/>
              <w:left w:w="95" w:type="dxa"/>
              <w:bottom w:w="95" w:type="dxa"/>
              <w:right w:w="95" w:type="dxa"/>
            </w:tcMar>
          </w:tcPr>
          <w:p>
            <w:pPr>
              <w:spacing w:after="40" w:before="40" w:line="252" w:lineRule="auto"/>
            </w:pPr>
            <w:r>
              <w:rPr>
                <w:sz w:val="20"/>
              </w:rPr>
              <w:t>supported unsupported not_tested inconclusive or not_applicable for each E code</w:t>
            </w:r>
          </w:p>
        </w:tc>
      </w:tr>
      <w:tr>
        <w:trPr>
          <w:cantSplit/>
        </w:trPr>
        <w:tc>
          <w:tcPr>
            <w:tcW w:type="dxa" w:w="1656"/>
            <w:vAlign w:val="center"/>
            <w:shd w:fill="FFFFFF"/>
            <w:tcMar>
              <w:top w:w="95" w:type="dxa"/>
              <w:left w:w="95" w:type="dxa"/>
              <w:bottom w:w="95" w:type="dxa"/>
              <w:right w:w="95" w:type="dxa"/>
            </w:tcMar>
          </w:tcPr>
          <w:p>
            <w:pPr>
              <w:spacing w:after="40" w:before="40" w:line="252" w:lineRule="auto"/>
            </w:pPr>
            <w:r>
              <w:rPr>
                <w:sz w:val="20"/>
              </w:rPr>
              <w:t>Classification certainty</w:t>
            </w:r>
          </w:p>
        </w:tc>
        <w:tc>
          <w:tcPr>
            <w:tcW w:type="dxa" w:w="2520"/>
            <w:vAlign w:val="center"/>
            <w:shd w:fill="FFFFFF"/>
            <w:tcMar>
              <w:top w:w="95" w:type="dxa"/>
              <w:left w:w="95" w:type="dxa"/>
              <w:bottom w:w="95" w:type="dxa"/>
              <w:right w:w="95" w:type="dxa"/>
            </w:tcMar>
          </w:tcPr>
          <w:p>
            <w:pPr>
              <w:spacing w:after="40" w:before="40" w:line="252" w:lineRule="auto"/>
            </w:pPr>
            <w:r>
              <w:rPr>
                <w:sz w:val="20"/>
              </w:rPr>
              <w:t>How securely does the case fit the vocabulary</w:t>
            </w:r>
          </w:p>
        </w:tc>
        <w:tc>
          <w:tcPr>
            <w:tcW w:type="dxa" w:w="5904"/>
            <w:vAlign w:val="center"/>
            <w:shd w:fill="FFFFFF"/>
            <w:tcMar>
              <w:top w:w="95" w:type="dxa"/>
              <w:left w:w="95" w:type="dxa"/>
              <w:bottom w:w="95" w:type="dxa"/>
              <w:right w:w="95" w:type="dxa"/>
            </w:tcMar>
          </w:tcPr>
          <w:p>
            <w:pPr>
              <w:spacing w:after="40" w:before="40" w:line="252" w:lineRule="auto"/>
            </w:pPr>
            <w:r>
              <w:rPr>
                <w:sz w:val="20"/>
              </w:rPr>
              <w:t>Reasoned assignment with ambiguous composite or unrepresented cases retained</w:t>
            </w:r>
          </w:p>
        </w:tc>
      </w:tr>
      <w:tr>
        <w:trPr>
          <w:cantSplit/>
        </w:trPr>
        <w:tc>
          <w:tcPr>
            <w:tcW w:type="dxa" w:w="1656"/>
            <w:vAlign w:val="center"/>
            <w:shd w:fill="FFFFFF"/>
            <w:tcMar>
              <w:top w:w="95" w:type="dxa"/>
              <w:left w:w="95" w:type="dxa"/>
              <w:bottom w:w="95" w:type="dxa"/>
              <w:right w:w="95" w:type="dxa"/>
            </w:tcMar>
          </w:tcPr>
          <w:p>
            <w:pPr>
              <w:spacing w:after="40" w:before="40" w:line="252" w:lineRule="auto"/>
            </w:pPr>
            <w:r>
              <w:rPr>
                <w:sz w:val="20"/>
              </w:rPr>
              <w:t>Mapping review</w:t>
            </w:r>
          </w:p>
        </w:tc>
        <w:tc>
          <w:tcPr>
            <w:tcW w:type="dxa" w:w="2520"/>
            <w:vAlign w:val="center"/>
            <w:shd w:fill="FFFFFF"/>
            <w:tcMar>
              <w:top w:w="95" w:type="dxa"/>
              <w:left w:w="95" w:type="dxa"/>
              <w:bottom w:w="95" w:type="dxa"/>
              <w:right w:w="95" w:type="dxa"/>
            </w:tcMar>
          </w:tcPr>
          <w:p>
            <w:pPr>
              <w:spacing w:after="40" w:before="40" w:line="252" w:lineRule="auto"/>
            </w:pPr>
            <w:r>
              <w:rPr>
                <w:sz w:val="20"/>
              </w:rPr>
              <w:t>How has the external relationship been reviewed</w:t>
            </w:r>
          </w:p>
        </w:tc>
        <w:tc>
          <w:tcPr>
            <w:tcW w:type="dxa" w:w="5904"/>
            <w:vAlign w:val="center"/>
            <w:shd w:fill="FFFFFF"/>
            <w:tcMar>
              <w:top w:w="95" w:type="dxa"/>
              <w:left w:w="95" w:type="dxa"/>
              <w:bottom w:w="95" w:type="dxa"/>
              <w:right w:w="95" w:type="dxa"/>
            </w:tcMar>
          </w:tcPr>
          <w:p>
            <w:pPr>
              <w:spacing w:after="40" w:before="40" w:line="252" w:lineRule="auto"/>
            </w:pPr>
            <w:r>
              <w:rPr>
                <w:sz w:val="20"/>
              </w:rPr>
              <w:t>proposed reviewed disputed or not_assessed</w:t>
            </w:r>
          </w:p>
        </w:tc>
      </w:tr>
      <w:tr>
        <w:trPr>
          <w:cantSplit/>
        </w:trPr>
        <w:tc>
          <w:tcPr>
            <w:tcW w:type="dxa" w:w="1656"/>
            <w:vAlign w:val="center"/>
            <w:shd w:fill="FFFFFF"/>
            <w:tcMar>
              <w:top w:w="95" w:type="dxa"/>
              <w:left w:w="95" w:type="dxa"/>
              <w:bottom w:w="95" w:type="dxa"/>
              <w:right w:w="95" w:type="dxa"/>
            </w:tcMar>
          </w:tcPr>
          <w:p>
            <w:pPr>
              <w:spacing w:after="40" w:before="40" w:line="252" w:lineRule="auto"/>
            </w:pPr>
            <w:r>
              <w:rPr>
                <w:sz w:val="20"/>
              </w:rPr>
              <w:t>Registry review</w:t>
            </w:r>
          </w:p>
        </w:tc>
        <w:tc>
          <w:tcPr>
            <w:tcW w:type="dxa" w:w="2520"/>
            <w:vAlign w:val="center"/>
            <w:shd w:fill="FFFFFF"/>
            <w:tcMar>
              <w:top w:w="95" w:type="dxa"/>
              <w:left w:w="95" w:type="dxa"/>
              <w:bottom w:w="95" w:type="dxa"/>
              <w:right w:w="95" w:type="dxa"/>
            </w:tcMar>
          </w:tcPr>
          <w:p>
            <w:pPr>
              <w:spacing w:after="40" w:before="40" w:line="252" w:lineRule="auto"/>
            </w:pPr>
            <w:r>
              <w:rPr>
                <w:sz w:val="20"/>
              </w:rPr>
              <w:t>What administrative decision has been made</w:t>
            </w:r>
          </w:p>
        </w:tc>
        <w:tc>
          <w:tcPr>
            <w:tcW w:type="dxa" w:w="5904"/>
            <w:vAlign w:val="center"/>
            <w:shd w:fill="FFFFFF"/>
            <w:tcMar>
              <w:top w:w="95" w:type="dxa"/>
              <w:left w:w="95" w:type="dxa"/>
              <w:bottom w:w="95" w:type="dxa"/>
              <w:right w:w="95" w:type="dxa"/>
            </w:tcMar>
          </w:tcPr>
          <w:p>
            <w:pPr>
              <w:spacing w:after="40" w:before="40" w:line="252" w:lineRule="auto"/>
            </w:pPr>
            <w:r>
              <w:rPr>
                <w:sz w:val="20"/>
              </w:rPr>
              <w:t>submitted under_review accepted rejected withdrawn or superseded</w:t>
            </w:r>
          </w:p>
        </w:tc>
      </w:tr>
    </w:tbl>
    <w:p>
      <w:pPr>
        <w:spacing w:after="20"/>
      </w:pPr>
    </w:p>
    <w:p>
      <w:pPr/>
      <w:r>
        <w:t>These axes are not conversions of one another. A syntactically valid record can be scientifically unsupported. Illustrative records have no actual registry decision, and their unexecuted tests cannot be described as observed failures.</w:t>
      </w:r>
    </w:p>
    <w:p>
      <w:pPr>
        <w:pStyle w:val="Heading1"/>
      </w:pPr>
      <w:r>
        <w:t>Migration procedure</w:t>
      </w:r>
    </w:p>
    <w:p>
      <w:pPr>
        <w:pStyle w:val="ListNumber"/>
      </w:pPr>
      <w:r>
        <w:t>Preserve the original record and the exact framework snapshot it cited. If its version is unknown, record that uncertainty instead of guessing.</w:t>
      </w:r>
    </w:p>
    <w:p>
      <w:pPr>
        <w:pStyle w:val="ListNumber"/>
      </w:pPr>
      <w:r>
        <w:t>Identify each referenced element by both identifier and source meaning. Resolve discrepancies between names and section numbers explicitly.</w:t>
      </w:r>
    </w:p>
    <w:p>
      <w:pPr>
        <w:pStyle w:val="ListNumber"/>
      </w:pPr>
      <w:r>
        <w:t>Reconstruct entry, failed contract, propagation and consequence from the evidence. Revisit L4, L5, L8 and L9 under the new boundary rules.</w:t>
      </w:r>
    </w:p>
    <w:p>
      <w:pPr>
        <w:pStyle w:val="ListNumber"/>
      </w:pPr>
      <w:r>
        <w:t>Record retained assignments, changed assignments, unresolved cases and the reason for each change. A rename can be mechanical; a scope decision requires review.</w:t>
      </w:r>
    </w:p>
    <w:p>
      <w:pPr>
        <w:pStyle w:val="ListNumber"/>
      </w:pPr>
      <w:r>
        <w:t>Create a new record revision that links to the prior one. Preserve its observation date, evidence restrictions and original assessment results.</w:t>
      </w:r>
    </w:p>
    <w:p>
      <w:pPr>
        <w:pStyle w:val="ListNumber"/>
      </w:pPr>
      <w:r>
        <w:t>Re-evaluate any derived summary, website text, profile applicability or crosswalk affected by the change. A migrated label does not supply new experimental evidence.</w:t>
      </w:r>
    </w:p>
    <w:p>
      <w:pPr>
        <w:pStyle w:val="Heading1"/>
      </w:pPr>
      <w:r>
        <w:t>Record identifiers and revisions</w:t>
      </w:r>
    </w:p>
    <w:p>
      <w:pPr/>
      <w:r>
        <w:t>The proposed registry prefix is OSAFIS, the project label in the supplied corpus. A registry entry uses OSAFIS-YYYY-NNNN, where the year is submission year and the sequence is allocated within that year. This is a proposed local convention, not a recognised vulnerability authority namespace. Never invent a public assignment or imply equivalence to a CVE identifier. Demonstration cases use EX identifiers such as EX01 and are kept outside the registry namespace.</w:t>
      </w:r>
    </w:p>
    <w:p>
      <w:pPr/>
      <w:r>
        <w:t>Entry identifiers persist through review, rejection, correction, withdrawal and supersession. Each substantive change increments entry_revision. A citation includes the entry identifier, entry revision, framework version and retrieval date or immutable snapshot. Duplicate entries link to the retained record without recycling either identifier. Restricted evidence can change accessibility while preserving a public history that avoids exposing sensitive content.</w:t>
      </w:r>
    </w:p>
    <w:p>
      <w:pPr/>
      <w:r>
        <w:t>Component, edge, contract, test and artifact identifiers are local to an assessment unless an external namespace is explicitly recorded. For example, a contract identifier C1 within a case does not create a new global OSAFIS property. Schema versions control machine representation separately from the framework meaning. A consumer must reject an unsupported schema version rather than silently interpreting fields under a different release.</w:t>
      </w:r>
    </w:p>
    <w:p>
      <w:pPr>
        <w:pStyle w:val="Heading1"/>
      </w:pPr>
      <w:r>
        <w:t>Change control and release decisions</w:t>
      </w:r>
    </w:p>
    <w:p>
      <w:pPr/>
      <w:r>
        <w:t>A change proposal states its motivation, affected definitions, boundary cases, compatibility effect and available evidence. The record includes author and reviewer roles, conflicts of interest, dissent and disposition. Proposed process roles must not be presented as appointed independent reviewers. The owner must establish actual governance and a publication licence before claiming an open-governed public release. This document neither selects a legal licence nor grants certification authority.</w:t>
      </w:r>
    </w:p>
    <w:p>
      <w:pPr/>
      <w:r>
        <w:t>The next stable release requires consistent artifacts, reviewed migration, explicit scientific limitations and evidence appropriate to its claims. Experiments can remain incomplete if the release makes only a vocabulary proposal, but that status must be visible. If the release claims demonstrated classification reliability or control effectiveness, the supporting study and its limitations must be included. Identifiers make a claim traceable; they do not validate it.</w:t>
      </w:r>
    </w:p>
    <w:sectPr w:rsidR="00FC693F" w:rsidRPr="0006063C" w:rsidSect="00034616">
      <w:footerReference w:type="default" r:id="rId9"/>
      <w:pgSz w:w="12240" w:h="15840"/>
      <w:pgMar w:top="1008" w:right="1080" w:bottom="936" w:left="1080"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OSAFIS 2.0.0-draft.1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52" w:lineRule="auto" w:after="80"/>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20" w:after="100" w:line="252" w:lineRule="auto"/>
      <w:outlineLvl w:val="0"/>
    </w:pPr>
    <w:rPr>
      <w:rFonts w:asciiTheme="majorHAnsi" w:eastAsiaTheme="majorEastAsia" w:hAnsiTheme="majorHAnsi" w:cstheme="majorBidi" w:ascii="Calibri" w:hAnsi="Calibri"/>
      <w:b/>
      <w:bCs/>
      <w:color w:val="000000"/>
      <w:sz w:val="32"/>
      <w:szCs w:val="28"/>
    </w:rPr>
  </w:style>
  <w:style w:type="paragraph" w:styleId="Heading2">
    <w:name w:val="heading 2"/>
    <w:basedOn w:val="Normal"/>
    <w:next w:val="Normal"/>
    <w:link w:val="Heading2Char"/>
    <w:uiPriority w:val="9"/>
    <w:unhideWhenUsed/>
    <w:qFormat/>
    <w:rsid w:val="00FC693F"/>
    <w:pPr>
      <w:keepNext/>
      <w:keepLines/>
      <w:widowControl/>
      <w:spacing w:before="220" w:after="100" w:line="252" w:lineRule="auto"/>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widowControl/>
      <w:spacing w:before="220" w:after="100" w:line="252" w:lineRule="auto"/>
      <w:outlineLvl w:val="2"/>
    </w:pPr>
    <w:rPr>
      <w:rFonts w:asciiTheme="majorHAnsi" w:eastAsiaTheme="majorEastAsia" w:hAnsiTheme="majorHAnsi" w:cstheme="majorBidi" w:ascii="Calibri" w:hAnsi="Calibri"/>
      <w:b/>
      <w:bCs/>
      <w:color w:val="000000"/>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widowControl/>
      <w:spacing w:after="220" w:line="252" w:lineRule="auto"/>
      <w:contextualSpacing/>
    </w:pPr>
    <w:rPr>
      <w:rFonts w:asciiTheme="majorHAnsi" w:eastAsiaTheme="majorEastAsia" w:hAnsiTheme="majorHAnsi" w:cstheme="majorBidi" w:ascii="Calibri" w:hAnsi="Calibri"/>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widowControl/>
      <w:numPr>
        <w:ilvl w:val="1"/>
      </w:numPr>
      <w:spacing w:line="252" w:lineRule="auto" w:after="80"/>
    </w:pPr>
    <w:rPr>
      <w:rFonts w:asciiTheme="majorHAnsi" w:eastAsiaTheme="majorEastAsia" w:hAnsiTheme="majorHAnsi" w:cstheme="majorBidi" w:ascii="Calibri" w:hAnsi="Calibri"/>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widowControl/>
      <w:numPr>
        <w:numId w:val="1"/>
      </w:numPr>
      <w:spacing w:line="252" w:lineRule="auto" w:after="80"/>
      <w:contextualSpacing/>
    </w:pPr>
    <w:rPr>
      <w:rFonts w:ascii="Calibri" w:hAnsi="Calibri"/>
      <w:color w:val="000000"/>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widowControl/>
      <w:numPr>
        <w:numId w:val="5"/>
      </w:numPr>
      <w:spacing w:line="252" w:lineRule="auto" w:after="80"/>
      <w:contextualSpacing/>
    </w:pPr>
    <w:rPr>
      <w:rFonts w:ascii="Calibri" w:hAnsi="Calibri"/>
      <w:color w:val="000000"/>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OSAFIS Versioning and Identifiers</dc:title>
  <dc:subject>AI security research specification</dc:subject>
  <dc:creator>OSAFIS</dc:creator>
  <cp:keywords/>
  <dc:description>generated by python-docx</dc:description>
  <cp:lastModifiedBy/>
  <cp:revision>1</cp:revision>
  <dcterms:created xsi:type="dcterms:W3CDTF">2013-12-23T23:15:00Z</dcterms:created>
  <dcterms:modified xsi:type="dcterms:W3CDTF">2013-12-23T23:15:00Z</dcterms:modified>
  <cp:category/>
  <cp:version>2.0.0-draft.1</cp:version>
</cp:coreProperties>
</file>